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A3C3" w14:textId="77777777" w:rsidR="008470E0" w:rsidRDefault="008470E0" w:rsidP="008470E0">
      <w:pPr>
        <w:spacing w:after="480"/>
      </w:pPr>
      <w:r>
        <w:rPr>
          <w:rFonts w:ascii="Arial Black" w:hAnsi="Arial Black"/>
          <w:noProof/>
          <w:color w:val="999999"/>
          <w:sz w:val="36"/>
          <w:szCs w:val="36"/>
          <w:lang w:eastAsia="en-GB"/>
        </w:rPr>
        <w:drawing>
          <wp:inline distT="0" distB="0" distL="0" distR="0" wp14:anchorId="1CB5716E" wp14:editId="77CD5D67">
            <wp:extent cx="2009775" cy="495935"/>
            <wp:effectExtent l="0" t="0" r="9525" b="0"/>
            <wp:docPr id="5" name="Picture 5"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pPr w:leftFromText="180" w:rightFromText="180" w:vertAnchor="text" w:tblpXSpec="right" w:tblpY="1"/>
        <w:tblOverlap w:val="never"/>
        <w:tblW w:w="0" w:type="auto"/>
        <w:tblLook w:val="0000" w:firstRow="0" w:lastRow="0" w:firstColumn="0" w:lastColumn="0" w:noHBand="0" w:noVBand="0"/>
        <w:tblCaption w:val="Cabinet report summary details"/>
      </w:tblPr>
      <w:tblGrid>
        <w:gridCol w:w="3397"/>
        <w:gridCol w:w="4912"/>
      </w:tblGrid>
      <w:tr w:rsidR="008470E0" w14:paraId="0149C9DF" w14:textId="77777777" w:rsidTr="008470E0">
        <w:trPr>
          <w:tblHeader/>
        </w:trPr>
        <w:tc>
          <w:tcPr>
            <w:tcW w:w="3456" w:type="dxa"/>
            <w:tcBorders>
              <w:bottom w:val="single" w:sz="18" w:space="0" w:color="auto"/>
            </w:tcBorders>
          </w:tcPr>
          <w:p w14:paraId="311A4B7A" w14:textId="77777777" w:rsidR="008470E0" w:rsidRPr="00B805DB" w:rsidRDefault="008470E0" w:rsidP="008470E0">
            <w:pPr>
              <w:pStyle w:val="Heading1"/>
              <w:spacing w:after="240"/>
              <w:outlineLvl w:val="0"/>
            </w:pPr>
            <w:r>
              <w:t>Report f</w:t>
            </w:r>
            <w:r w:rsidRPr="00C869F3">
              <w:t>or:</w:t>
            </w:r>
          </w:p>
        </w:tc>
        <w:tc>
          <w:tcPr>
            <w:tcW w:w="5054" w:type="dxa"/>
            <w:tcBorders>
              <w:bottom w:val="single" w:sz="18" w:space="0" w:color="auto"/>
            </w:tcBorders>
          </w:tcPr>
          <w:p w14:paraId="58CE66C7" w14:textId="77777777" w:rsidR="008470E0" w:rsidRPr="005E3A10" w:rsidRDefault="008470E0" w:rsidP="008470E0">
            <w:pPr>
              <w:pStyle w:val="Heading1"/>
              <w:outlineLvl w:val="0"/>
              <w:rPr>
                <w:szCs w:val="24"/>
              </w:rPr>
            </w:pPr>
            <w:r w:rsidRPr="005E3A10">
              <w:t>Cabinet</w:t>
            </w:r>
          </w:p>
        </w:tc>
      </w:tr>
      <w:tr w:rsidR="008470E0" w14:paraId="2CA84459" w14:textId="77777777" w:rsidTr="008470E0">
        <w:tc>
          <w:tcPr>
            <w:tcW w:w="3456" w:type="dxa"/>
            <w:tcBorders>
              <w:top w:val="single" w:sz="18" w:space="0" w:color="auto"/>
            </w:tcBorders>
          </w:tcPr>
          <w:p w14:paraId="06D220DE" w14:textId="77777777" w:rsidR="008470E0" w:rsidRPr="00C13A5F" w:rsidRDefault="008470E0" w:rsidP="008470E0">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4643A89C" w14:textId="6B408979" w:rsidR="008470E0" w:rsidRPr="005E3A10" w:rsidRDefault="001B74AA" w:rsidP="008470E0">
            <w:pPr>
              <w:rPr>
                <w:rFonts w:cs="Arial"/>
                <w:szCs w:val="24"/>
              </w:rPr>
            </w:pPr>
            <w:r>
              <w:rPr>
                <w:rFonts w:cs="Arial"/>
                <w:szCs w:val="24"/>
              </w:rPr>
              <w:t>9 December 2021</w:t>
            </w:r>
          </w:p>
        </w:tc>
      </w:tr>
      <w:tr w:rsidR="008470E0" w14:paraId="0313C517" w14:textId="77777777" w:rsidTr="008470E0">
        <w:tc>
          <w:tcPr>
            <w:tcW w:w="3456" w:type="dxa"/>
          </w:tcPr>
          <w:p w14:paraId="4E52DA0E" w14:textId="77777777" w:rsidR="008470E0" w:rsidRPr="00C13A5F" w:rsidRDefault="008470E0" w:rsidP="008470E0">
            <w:pPr>
              <w:pStyle w:val="Infotext"/>
              <w:spacing w:after="240"/>
              <w:rPr>
                <w:rFonts w:ascii="Arial Black" w:hAnsi="Arial Black"/>
              </w:rPr>
            </w:pPr>
            <w:r w:rsidRPr="00C13A5F">
              <w:rPr>
                <w:rFonts w:ascii="Arial Black" w:hAnsi="Arial Black" w:cs="Arial"/>
              </w:rPr>
              <w:t>Subject:</w:t>
            </w:r>
          </w:p>
        </w:tc>
        <w:tc>
          <w:tcPr>
            <w:tcW w:w="5054" w:type="dxa"/>
          </w:tcPr>
          <w:p w14:paraId="5B842F1D" w14:textId="13CCD675" w:rsidR="008470E0" w:rsidRDefault="001B74AA" w:rsidP="008470E0">
            <w:pPr>
              <w:rPr>
                <w:rFonts w:cs="Arial"/>
                <w:szCs w:val="24"/>
              </w:rPr>
            </w:pPr>
            <w:r>
              <w:rPr>
                <w:rFonts w:cs="Arial"/>
                <w:szCs w:val="24"/>
              </w:rPr>
              <w:t>Q2</w:t>
            </w:r>
            <w:r w:rsidR="008470E0">
              <w:rPr>
                <w:rFonts w:cs="Arial"/>
                <w:szCs w:val="24"/>
              </w:rPr>
              <w:t xml:space="preserve"> Revenue and Capital Monitoring 2021/22</w:t>
            </w:r>
          </w:p>
          <w:p w14:paraId="7910582E" w14:textId="77777777" w:rsidR="008470E0" w:rsidRPr="005E3A10" w:rsidRDefault="008470E0" w:rsidP="008470E0">
            <w:pPr>
              <w:rPr>
                <w:rFonts w:cs="Arial"/>
                <w:szCs w:val="24"/>
              </w:rPr>
            </w:pPr>
          </w:p>
        </w:tc>
      </w:tr>
      <w:tr w:rsidR="008470E0" w14:paraId="4C803C95" w14:textId="77777777" w:rsidTr="008470E0">
        <w:tc>
          <w:tcPr>
            <w:tcW w:w="3456" w:type="dxa"/>
          </w:tcPr>
          <w:p w14:paraId="287CB7E2" w14:textId="77777777" w:rsidR="008470E0" w:rsidRPr="00D130AA" w:rsidRDefault="008470E0" w:rsidP="008470E0">
            <w:pPr>
              <w:pStyle w:val="Infotext"/>
              <w:spacing w:after="240"/>
              <w:rPr>
                <w:rFonts w:ascii="Arial Black" w:hAnsi="Arial Black" w:cs="Arial"/>
              </w:rPr>
            </w:pPr>
            <w:r w:rsidRPr="00D130AA">
              <w:rPr>
                <w:rFonts w:ascii="Arial Black" w:hAnsi="Arial Black" w:cs="Arial"/>
              </w:rPr>
              <w:t>Key Decision:</w:t>
            </w:r>
          </w:p>
        </w:tc>
        <w:tc>
          <w:tcPr>
            <w:tcW w:w="5054" w:type="dxa"/>
          </w:tcPr>
          <w:p w14:paraId="53A7193E" w14:textId="77777777" w:rsidR="008470E0" w:rsidRPr="00D130AA" w:rsidRDefault="008470E0" w:rsidP="008470E0">
            <w:pPr>
              <w:pStyle w:val="Infotext"/>
              <w:rPr>
                <w:rFonts w:cs="Arial"/>
                <w:szCs w:val="24"/>
              </w:rPr>
            </w:pPr>
            <w:r w:rsidRPr="00D130AA">
              <w:rPr>
                <w:rFonts w:cs="Arial"/>
                <w:sz w:val="24"/>
                <w:szCs w:val="24"/>
              </w:rPr>
              <w:t xml:space="preserve">Yes </w:t>
            </w:r>
          </w:p>
        </w:tc>
      </w:tr>
      <w:tr w:rsidR="008470E0" w14:paraId="5B3BBB7D" w14:textId="77777777" w:rsidTr="008470E0">
        <w:tc>
          <w:tcPr>
            <w:tcW w:w="3456" w:type="dxa"/>
          </w:tcPr>
          <w:p w14:paraId="6EA110E5" w14:textId="77777777" w:rsidR="008470E0" w:rsidRPr="00C13A5F" w:rsidRDefault="008470E0" w:rsidP="008470E0">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4120931" w14:textId="77777777" w:rsidR="008470E0" w:rsidRPr="005E3A10" w:rsidRDefault="008470E0" w:rsidP="008470E0">
            <w:pPr>
              <w:pStyle w:val="Infotext"/>
              <w:rPr>
                <w:rFonts w:cs="Arial"/>
                <w:sz w:val="24"/>
                <w:szCs w:val="24"/>
              </w:rPr>
            </w:pPr>
            <w:r w:rsidRPr="005641E0">
              <w:rPr>
                <w:rFonts w:cs="Arial"/>
                <w:sz w:val="24"/>
                <w:szCs w:val="24"/>
              </w:rPr>
              <w:t>Dawn Calvert, Director of Finance</w:t>
            </w:r>
            <w:r>
              <w:rPr>
                <w:rFonts w:cs="Arial"/>
                <w:sz w:val="24"/>
                <w:szCs w:val="24"/>
              </w:rPr>
              <w:t xml:space="preserve"> and Assurance</w:t>
            </w:r>
          </w:p>
          <w:p w14:paraId="32F77B23" w14:textId="77777777" w:rsidR="008470E0" w:rsidRPr="005E3A10" w:rsidRDefault="008470E0" w:rsidP="008470E0">
            <w:pPr>
              <w:pStyle w:val="Infotext"/>
              <w:rPr>
                <w:rFonts w:cs="Arial"/>
                <w:sz w:val="24"/>
                <w:szCs w:val="24"/>
              </w:rPr>
            </w:pPr>
          </w:p>
        </w:tc>
      </w:tr>
      <w:tr w:rsidR="008470E0" w14:paraId="0704E939" w14:textId="77777777" w:rsidTr="008470E0">
        <w:tc>
          <w:tcPr>
            <w:tcW w:w="3456" w:type="dxa"/>
          </w:tcPr>
          <w:p w14:paraId="1D949915" w14:textId="77777777" w:rsidR="008470E0" w:rsidRPr="00C13A5F" w:rsidRDefault="008470E0" w:rsidP="008470E0">
            <w:pPr>
              <w:pStyle w:val="Infotext"/>
              <w:spacing w:after="240"/>
              <w:rPr>
                <w:rFonts w:ascii="Arial Black" w:hAnsi="Arial Black"/>
              </w:rPr>
            </w:pPr>
            <w:r w:rsidRPr="00DB6C3D">
              <w:rPr>
                <w:rFonts w:ascii="Arial Black" w:hAnsi="Arial Black"/>
              </w:rPr>
              <w:t>Portfolio Holder:</w:t>
            </w:r>
          </w:p>
        </w:tc>
        <w:tc>
          <w:tcPr>
            <w:tcW w:w="5054" w:type="dxa"/>
          </w:tcPr>
          <w:p w14:paraId="68C178F8" w14:textId="77777777" w:rsidR="008470E0" w:rsidRDefault="008470E0" w:rsidP="008470E0">
            <w:pPr>
              <w:pStyle w:val="Infotext"/>
              <w:rPr>
                <w:rFonts w:cs="Arial"/>
                <w:sz w:val="24"/>
                <w:szCs w:val="24"/>
              </w:rPr>
            </w:pPr>
            <w:r w:rsidRPr="002E1DF4">
              <w:rPr>
                <w:rFonts w:cs="Arial"/>
                <w:sz w:val="24"/>
                <w:szCs w:val="24"/>
              </w:rPr>
              <w:t xml:space="preserve">Councillor </w:t>
            </w:r>
            <w:r>
              <w:rPr>
                <w:rFonts w:cs="Arial"/>
                <w:sz w:val="24"/>
                <w:szCs w:val="24"/>
              </w:rPr>
              <w:t>Natasha Proctor</w:t>
            </w:r>
            <w:r w:rsidRPr="002E1DF4">
              <w:rPr>
                <w:rFonts w:cs="Arial"/>
                <w:sz w:val="24"/>
                <w:szCs w:val="24"/>
              </w:rPr>
              <w:t xml:space="preserve">, </w:t>
            </w:r>
            <w:r>
              <w:rPr>
                <w:rFonts w:cs="Arial"/>
                <w:sz w:val="24"/>
                <w:szCs w:val="24"/>
              </w:rPr>
              <w:t xml:space="preserve">Deputy Leader and </w:t>
            </w:r>
            <w:r w:rsidRPr="002E1DF4">
              <w:rPr>
                <w:rFonts w:cs="Arial"/>
                <w:sz w:val="24"/>
                <w:szCs w:val="24"/>
              </w:rPr>
              <w:t>Portfolio Holder for Finance and Resources</w:t>
            </w:r>
          </w:p>
          <w:p w14:paraId="614AA0BA" w14:textId="77777777" w:rsidR="008470E0" w:rsidRPr="005E3A10" w:rsidRDefault="008470E0" w:rsidP="008470E0">
            <w:pPr>
              <w:pStyle w:val="Infotext"/>
              <w:rPr>
                <w:rFonts w:cs="Arial"/>
                <w:color w:val="FF0000"/>
                <w:sz w:val="24"/>
                <w:szCs w:val="24"/>
              </w:rPr>
            </w:pPr>
          </w:p>
        </w:tc>
      </w:tr>
      <w:tr w:rsidR="008470E0" w14:paraId="7EF48F46" w14:textId="77777777" w:rsidTr="008470E0">
        <w:tc>
          <w:tcPr>
            <w:tcW w:w="3456" w:type="dxa"/>
          </w:tcPr>
          <w:p w14:paraId="6273E787" w14:textId="77777777" w:rsidR="008470E0" w:rsidRPr="00C13A5F" w:rsidRDefault="008470E0" w:rsidP="008470E0">
            <w:pPr>
              <w:pStyle w:val="Infotext"/>
              <w:spacing w:after="240"/>
              <w:rPr>
                <w:rFonts w:ascii="Arial Black" w:hAnsi="Arial Black"/>
              </w:rPr>
            </w:pPr>
            <w:r w:rsidRPr="00DB6C3D">
              <w:rPr>
                <w:rFonts w:ascii="Arial Black" w:hAnsi="Arial Black"/>
              </w:rPr>
              <w:t>Exempt:</w:t>
            </w:r>
          </w:p>
        </w:tc>
        <w:tc>
          <w:tcPr>
            <w:tcW w:w="5054" w:type="dxa"/>
          </w:tcPr>
          <w:p w14:paraId="13860C40" w14:textId="2393E8F6" w:rsidR="008470E0" w:rsidRPr="005E3A10" w:rsidRDefault="001B74AA" w:rsidP="008470E0">
            <w:pPr>
              <w:pStyle w:val="Infotext"/>
              <w:jc w:val="both"/>
              <w:rPr>
                <w:rFonts w:cs="Arial"/>
                <w:sz w:val="24"/>
                <w:szCs w:val="24"/>
              </w:rPr>
            </w:pPr>
            <w:r>
              <w:rPr>
                <w:rFonts w:cs="Arial"/>
                <w:sz w:val="24"/>
                <w:szCs w:val="24"/>
              </w:rPr>
              <w:t>No</w:t>
            </w:r>
          </w:p>
          <w:p w14:paraId="18909D70" w14:textId="77777777" w:rsidR="008470E0" w:rsidRPr="005E3A10" w:rsidRDefault="008470E0" w:rsidP="008470E0">
            <w:pPr>
              <w:pStyle w:val="Infotext"/>
              <w:rPr>
                <w:rFonts w:cs="Arial"/>
                <w:color w:val="FF0000"/>
                <w:sz w:val="24"/>
                <w:szCs w:val="24"/>
              </w:rPr>
            </w:pPr>
          </w:p>
        </w:tc>
      </w:tr>
      <w:tr w:rsidR="008470E0" w14:paraId="4FDBD0AA" w14:textId="77777777" w:rsidTr="008470E0">
        <w:tc>
          <w:tcPr>
            <w:tcW w:w="3456" w:type="dxa"/>
          </w:tcPr>
          <w:p w14:paraId="07297C79" w14:textId="77777777" w:rsidR="008470E0" w:rsidRPr="00C13A5F" w:rsidRDefault="008470E0" w:rsidP="008470E0">
            <w:pPr>
              <w:pStyle w:val="Infotext"/>
              <w:spacing w:after="240"/>
              <w:rPr>
                <w:rFonts w:ascii="Arial Black" w:hAnsi="Arial Black"/>
              </w:rPr>
            </w:pPr>
            <w:r w:rsidRPr="00DB6C3D">
              <w:rPr>
                <w:rFonts w:ascii="Arial Black" w:hAnsi="Arial Black"/>
              </w:rPr>
              <w:t>Decision subject to Call-in:</w:t>
            </w:r>
          </w:p>
        </w:tc>
        <w:tc>
          <w:tcPr>
            <w:tcW w:w="5054" w:type="dxa"/>
          </w:tcPr>
          <w:p w14:paraId="5D98F42A" w14:textId="77777777" w:rsidR="008470E0" w:rsidRPr="005E3A10" w:rsidRDefault="008470E0" w:rsidP="008470E0">
            <w:pPr>
              <w:pStyle w:val="Infotext"/>
              <w:rPr>
                <w:rFonts w:cs="Arial"/>
                <w:szCs w:val="24"/>
              </w:rPr>
            </w:pPr>
            <w:r w:rsidRPr="005E3A10">
              <w:rPr>
                <w:rFonts w:cs="Arial"/>
                <w:sz w:val="24"/>
                <w:szCs w:val="24"/>
              </w:rPr>
              <w:t xml:space="preserve">Yes </w:t>
            </w:r>
          </w:p>
        </w:tc>
      </w:tr>
      <w:tr w:rsidR="008470E0" w14:paraId="534A5591" w14:textId="77777777" w:rsidTr="008470E0">
        <w:tc>
          <w:tcPr>
            <w:tcW w:w="3456" w:type="dxa"/>
          </w:tcPr>
          <w:p w14:paraId="3EE0E8B1" w14:textId="77777777" w:rsidR="008470E0" w:rsidRPr="00C13A5F" w:rsidRDefault="008470E0" w:rsidP="008470E0">
            <w:pPr>
              <w:pStyle w:val="Infotext"/>
              <w:spacing w:after="240"/>
              <w:rPr>
                <w:rFonts w:ascii="Arial Black" w:hAnsi="Arial Black" w:cs="Arial"/>
              </w:rPr>
            </w:pPr>
            <w:r>
              <w:rPr>
                <w:rFonts w:ascii="Arial Black" w:hAnsi="Arial Black" w:cs="Arial"/>
              </w:rPr>
              <w:t>Wards affected:</w:t>
            </w:r>
          </w:p>
        </w:tc>
        <w:tc>
          <w:tcPr>
            <w:tcW w:w="5054" w:type="dxa"/>
          </w:tcPr>
          <w:p w14:paraId="554BAD75" w14:textId="77777777" w:rsidR="008470E0" w:rsidRPr="00307F76" w:rsidRDefault="008470E0" w:rsidP="008470E0">
            <w:pPr>
              <w:rPr>
                <w:rFonts w:cs="Arial"/>
                <w:b/>
                <w:color w:val="FF0000"/>
                <w:szCs w:val="24"/>
              </w:rPr>
            </w:pPr>
            <w:r>
              <w:rPr>
                <w:rFonts w:cs="Arial"/>
                <w:szCs w:val="24"/>
              </w:rPr>
              <w:t>All wards</w:t>
            </w:r>
          </w:p>
        </w:tc>
      </w:tr>
      <w:tr w:rsidR="008470E0" w14:paraId="66FD410D" w14:textId="77777777" w:rsidTr="008470E0">
        <w:tc>
          <w:tcPr>
            <w:tcW w:w="3456" w:type="dxa"/>
          </w:tcPr>
          <w:p w14:paraId="65C18360" w14:textId="77777777" w:rsidR="008470E0" w:rsidRPr="00C13A5F" w:rsidRDefault="008470E0" w:rsidP="008470E0">
            <w:pPr>
              <w:pStyle w:val="Infotext"/>
              <w:spacing w:after="240"/>
              <w:rPr>
                <w:rFonts w:ascii="Arial Black" w:hAnsi="Arial Black" w:cs="Arial"/>
              </w:rPr>
            </w:pPr>
            <w:r w:rsidRPr="00C13A5F">
              <w:rPr>
                <w:rFonts w:ascii="Arial Black" w:hAnsi="Arial Black" w:cs="Arial"/>
              </w:rPr>
              <w:t>Enclosures:</w:t>
            </w:r>
          </w:p>
        </w:tc>
        <w:tc>
          <w:tcPr>
            <w:tcW w:w="5054" w:type="dxa"/>
          </w:tcPr>
          <w:p w14:paraId="4BD9E2B3" w14:textId="77777777" w:rsidR="008470E0" w:rsidRPr="007323B9" w:rsidRDefault="008470E0" w:rsidP="008470E0">
            <w:pPr>
              <w:rPr>
                <w:rFonts w:cs="Arial"/>
                <w:szCs w:val="24"/>
              </w:rPr>
            </w:pPr>
            <w:r w:rsidRPr="002145D1">
              <w:rPr>
                <w:rFonts w:cs="Arial"/>
                <w:color w:val="000000" w:themeColor="text1"/>
              </w:rPr>
              <w:t>Appendix</w:t>
            </w:r>
            <w:r>
              <w:rPr>
                <w:rFonts w:cs="Arial"/>
                <w:color w:val="000000" w:themeColor="text1"/>
              </w:rPr>
              <w:t xml:space="preserve"> 1 – </w:t>
            </w:r>
            <w:r w:rsidRPr="002145D1">
              <w:rPr>
                <w:rFonts w:cs="Arial"/>
                <w:color w:val="000000" w:themeColor="text1"/>
              </w:rPr>
              <w:t xml:space="preserve">Summary of </w:t>
            </w:r>
            <w:r>
              <w:rPr>
                <w:rFonts w:cs="Arial"/>
                <w:color w:val="000000" w:themeColor="text1"/>
              </w:rPr>
              <w:t>2021/22</w:t>
            </w:r>
            <w:r w:rsidRPr="002145D1">
              <w:rPr>
                <w:rFonts w:cs="Arial"/>
                <w:color w:val="000000" w:themeColor="text1"/>
              </w:rPr>
              <w:t xml:space="preserve"> </w:t>
            </w:r>
            <w:r w:rsidRPr="002145D1">
              <w:rPr>
                <w:rFonts w:cs="Arial"/>
                <w:color w:val="000000" w:themeColor="text1"/>
                <w:szCs w:val="24"/>
              </w:rPr>
              <w:t xml:space="preserve">Revenue Budget Forecast by Directorate </w:t>
            </w:r>
          </w:p>
          <w:p w14:paraId="00DACB4B" w14:textId="77777777" w:rsidR="008470E0" w:rsidRPr="007323B9" w:rsidRDefault="008470E0" w:rsidP="008470E0">
            <w:pPr>
              <w:rPr>
                <w:rFonts w:cs="Arial"/>
                <w:szCs w:val="24"/>
              </w:rPr>
            </w:pPr>
            <w:r w:rsidRPr="007323B9">
              <w:rPr>
                <w:rFonts w:cs="Arial"/>
                <w:szCs w:val="24"/>
              </w:rPr>
              <w:t xml:space="preserve">Appendix 2 – </w:t>
            </w:r>
            <w:r>
              <w:rPr>
                <w:rFonts w:cs="Arial"/>
                <w:szCs w:val="24"/>
              </w:rPr>
              <w:t>Summary of Reserves</w:t>
            </w:r>
            <w:r w:rsidRPr="007323B9">
              <w:rPr>
                <w:rFonts w:cs="Arial"/>
                <w:szCs w:val="24"/>
              </w:rPr>
              <w:t xml:space="preserve"> </w:t>
            </w:r>
          </w:p>
          <w:p w14:paraId="64B59CB0" w14:textId="77777777" w:rsidR="008470E0" w:rsidRDefault="008470E0" w:rsidP="008470E0">
            <w:pPr>
              <w:rPr>
                <w:rFonts w:cs="Arial"/>
                <w:szCs w:val="24"/>
              </w:rPr>
            </w:pPr>
            <w:r w:rsidRPr="007323B9">
              <w:rPr>
                <w:rFonts w:cs="Arial"/>
                <w:szCs w:val="24"/>
              </w:rPr>
              <w:t xml:space="preserve">Appendix 3 – </w:t>
            </w:r>
            <w:r>
              <w:rPr>
                <w:rFonts w:cs="Arial"/>
                <w:szCs w:val="24"/>
              </w:rPr>
              <w:t>Summary of Grants</w:t>
            </w:r>
          </w:p>
          <w:p w14:paraId="2648FEBB" w14:textId="77777777" w:rsidR="008470E0" w:rsidRPr="007323B9" w:rsidRDefault="008470E0" w:rsidP="008470E0">
            <w:pPr>
              <w:rPr>
                <w:rFonts w:cs="Arial"/>
                <w:szCs w:val="24"/>
              </w:rPr>
            </w:pPr>
            <w:r w:rsidRPr="007323B9">
              <w:rPr>
                <w:rFonts w:cs="Arial"/>
                <w:szCs w:val="24"/>
              </w:rPr>
              <w:t>Appendix 4 –</w:t>
            </w:r>
            <w:r>
              <w:rPr>
                <w:rFonts w:cs="Arial"/>
                <w:szCs w:val="24"/>
              </w:rPr>
              <w:t xml:space="preserve"> </w:t>
            </w:r>
            <w:r w:rsidRPr="007323B9">
              <w:rPr>
                <w:rFonts w:cs="Arial"/>
                <w:szCs w:val="24"/>
              </w:rPr>
              <w:t>Savings Tracker</w:t>
            </w:r>
            <w:r>
              <w:rPr>
                <w:rFonts w:cs="Arial"/>
                <w:szCs w:val="24"/>
              </w:rPr>
              <w:t xml:space="preserve"> 2021/22</w:t>
            </w:r>
          </w:p>
          <w:p w14:paraId="5961155D" w14:textId="77777777" w:rsidR="008470E0" w:rsidRPr="002145D1" w:rsidRDefault="008470E0" w:rsidP="008470E0">
            <w:pPr>
              <w:pStyle w:val="Infotext"/>
              <w:rPr>
                <w:rFonts w:cs="Arial"/>
                <w:color w:val="000000" w:themeColor="text1"/>
                <w:sz w:val="24"/>
                <w:szCs w:val="24"/>
              </w:rPr>
            </w:pPr>
            <w:r w:rsidRPr="002145D1">
              <w:rPr>
                <w:rFonts w:cs="Arial"/>
                <w:color w:val="000000" w:themeColor="text1"/>
                <w:sz w:val="24"/>
                <w:szCs w:val="24"/>
              </w:rPr>
              <w:t>Appendix</w:t>
            </w:r>
            <w:r>
              <w:rPr>
                <w:rFonts w:cs="Arial"/>
                <w:color w:val="000000" w:themeColor="text1"/>
                <w:sz w:val="24"/>
                <w:szCs w:val="24"/>
              </w:rPr>
              <w:t xml:space="preserve"> 5 – </w:t>
            </w:r>
            <w:r w:rsidRPr="002145D1">
              <w:rPr>
                <w:rFonts w:cs="Arial"/>
                <w:color w:val="000000" w:themeColor="text1"/>
                <w:sz w:val="24"/>
                <w:szCs w:val="24"/>
              </w:rPr>
              <w:t>Capital Programme</w:t>
            </w:r>
            <w:r w:rsidRPr="002145D1">
              <w:rPr>
                <w:rFonts w:cs="Arial"/>
                <w:color w:val="000000" w:themeColor="text1"/>
                <w:szCs w:val="24"/>
              </w:rPr>
              <w:t xml:space="preserve"> </w:t>
            </w:r>
            <w:r>
              <w:rPr>
                <w:rFonts w:cs="Arial"/>
                <w:color w:val="000000" w:themeColor="text1"/>
                <w:sz w:val="24"/>
                <w:szCs w:val="24"/>
              </w:rPr>
              <w:t>2021/22</w:t>
            </w:r>
          </w:p>
          <w:p w14:paraId="7C7D6AEC" w14:textId="77777777" w:rsidR="008470E0" w:rsidRDefault="008470E0" w:rsidP="008470E0">
            <w:pPr>
              <w:pStyle w:val="Infotext"/>
              <w:rPr>
                <w:rFonts w:cs="Arial"/>
                <w:color w:val="000000" w:themeColor="text1"/>
                <w:sz w:val="24"/>
                <w:szCs w:val="24"/>
              </w:rPr>
            </w:pPr>
            <w:r w:rsidRPr="002145D1">
              <w:rPr>
                <w:rFonts w:cs="Arial"/>
                <w:color w:val="000000" w:themeColor="text1"/>
                <w:sz w:val="24"/>
                <w:szCs w:val="24"/>
              </w:rPr>
              <w:t xml:space="preserve">Appendix 6 – Trading Company Update </w:t>
            </w:r>
            <w:r>
              <w:rPr>
                <w:rFonts w:cs="Arial"/>
                <w:color w:val="000000" w:themeColor="text1"/>
                <w:sz w:val="24"/>
                <w:szCs w:val="24"/>
              </w:rPr>
              <w:t>2021/22</w:t>
            </w:r>
          </w:p>
          <w:p w14:paraId="2F04515B" w14:textId="77777777" w:rsidR="008470E0" w:rsidRPr="00E54898" w:rsidRDefault="008470E0" w:rsidP="008470E0">
            <w:pPr>
              <w:pStyle w:val="Infotext"/>
              <w:jc w:val="both"/>
              <w:rPr>
                <w:rFonts w:cs="Arial"/>
                <w:color w:val="FF0000"/>
                <w:sz w:val="24"/>
                <w:szCs w:val="24"/>
              </w:rPr>
            </w:pPr>
          </w:p>
          <w:p w14:paraId="53B1CC73" w14:textId="77777777" w:rsidR="008470E0" w:rsidRPr="005E3A10" w:rsidRDefault="008470E0" w:rsidP="008470E0">
            <w:pPr>
              <w:pStyle w:val="Infotext"/>
              <w:rPr>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08470E0">
        <w:trPr>
          <w:tblHeader/>
        </w:trPr>
        <w:tc>
          <w:tcPr>
            <w:tcW w:w="8309" w:type="dxa"/>
            <w:tcBorders>
              <w:top w:val="nil"/>
              <w:left w:val="nil"/>
              <w:right w:val="nil"/>
            </w:tcBorders>
          </w:tcPr>
          <w:p w14:paraId="3A67BFB3" w14:textId="70CB3FF9" w:rsidR="00333FAA" w:rsidRDefault="008470E0" w:rsidP="00605A4C">
            <w:pPr>
              <w:pStyle w:val="Heading2"/>
              <w:spacing w:after="240"/>
            </w:pPr>
            <w:r>
              <w:lastRenderedPageBreak/>
              <w:br w:type="textWrapping" w:clear="all"/>
              <w:t>S</w:t>
            </w:r>
            <w:r w:rsidR="00333FAA">
              <w:t>ection 1 – Summary and Recommendations</w:t>
            </w:r>
          </w:p>
        </w:tc>
      </w:tr>
      <w:tr w:rsidR="00333FAA" w14:paraId="5D78E563" w14:textId="77777777" w:rsidTr="008470E0">
        <w:trPr>
          <w:tblHeader/>
        </w:trPr>
        <w:tc>
          <w:tcPr>
            <w:tcW w:w="8309" w:type="dxa"/>
          </w:tcPr>
          <w:p w14:paraId="12DD66B6" w14:textId="642ADAB0" w:rsidR="008470E0" w:rsidRDefault="008470E0" w:rsidP="008470E0">
            <w:pPr>
              <w:pStyle w:val="Heading3"/>
              <w:spacing w:before="240"/>
              <w:ind w:left="739"/>
              <w:rPr>
                <w:rFonts w:cs="Times New Roman"/>
                <w:b w:val="0"/>
                <w:bCs w:val="0"/>
                <w:sz w:val="24"/>
                <w:szCs w:val="20"/>
              </w:rPr>
            </w:pPr>
            <w:r w:rsidRPr="008470E0">
              <w:rPr>
                <w:rFonts w:cs="Times New Roman"/>
                <w:b w:val="0"/>
                <w:bCs w:val="0"/>
                <w:sz w:val="24"/>
                <w:szCs w:val="20"/>
              </w:rPr>
              <w:t>This report sets out the Council’s final revenue and capital outturn position</w:t>
            </w:r>
            <w:r>
              <w:rPr>
                <w:rFonts w:cs="Times New Roman"/>
                <w:b w:val="0"/>
                <w:bCs w:val="0"/>
                <w:sz w:val="24"/>
                <w:szCs w:val="20"/>
              </w:rPr>
              <w:t xml:space="preserve"> </w:t>
            </w:r>
            <w:r w:rsidRPr="008470E0">
              <w:rPr>
                <w:rFonts w:cs="Times New Roman"/>
                <w:b w:val="0"/>
                <w:bCs w:val="0"/>
                <w:sz w:val="24"/>
                <w:szCs w:val="20"/>
              </w:rPr>
              <w:t>for 2021/22</w:t>
            </w:r>
            <w:r w:rsidR="004B4AC2">
              <w:rPr>
                <w:rFonts w:cs="Times New Roman"/>
                <w:b w:val="0"/>
                <w:bCs w:val="0"/>
                <w:sz w:val="24"/>
                <w:szCs w:val="20"/>
              </w:rPr>
              <w:t>.</w:t>
            </w:r>
          </w:p>
          <w:p w14:paraId="0B40EE9C" w14:textId="77777777" w:rsidR="008470E0" w:rsidRPr="008470E0" w:rsidRDefault="008470E0" w:rsidP="008470E0"/>
          <w:p w14:paraId="42DEF54D" w14:textId="140B44B5" w:rsidR="008470E0" w:rsidRPr="008470E0" w:rsidRDefault="008470E0" w:rsidP="008470E0">
            <w:pPr>
              <w:jc w:val="both"/>
              <w:rPr>
                <w:b/>
                <w:bCs/>
                <w:sz w:val="28"/>
                <w:szCs w:val="22"/>
                <w:u w:val="single"/>
              </w:rPr>
            </w:pPr>
            <w:r w:rsidRPr="008470E0">
              <w:rPr>
                <w:b/>
                <w:bCs/>
                <w:sz w:val="28"/>
                <w:szCs w:val="22"/>
              </w:rPr>
              <w:t>Recommendations</w:t>
            </w:r>
            <w:r w:rsidR="001B74AA">
              <w:rPr>
                <w:b/>
                <w:bCs/>
                <w:sz w:val="28"/>
                <w:szCs w:val="22"/>
              </w:rPr>
              <w:t>:</w:t>
            </w:r>
            <w:r w:rsidRPr="008470E0">
              <w:rPr>
                <w:b/>
                <w:bCs/>
                <w:sz w:val="28"/>
                <w:szCs w:val="22"/>
                <w:u w:val="single"/>
              </w:rPr>
              <w:t xml:space="preserve"> </w:t>
            </w:r>
          </w:p>
          <w:p w14:paraId="7E755B4B" w14:textId="77777777" w:rsidR="008470E0" w:rsidRPr="00966427" w:rsidRDefault="008470E0" w:rsidP="008470E0">
            <w:pPr>
              <w:jc w:val="both"/>
            </w:pPr>
          </w:p>
          <w:p w14:paraId="773C41A8" w14:textId="77777777" w:rsidR="008470E0" w:rsidRPr="00E41F8A" w:rsidRDefault="008470E0" w:rsidP="008470E0">
            <w:pPr>
              <w:numPr>
                <w:ilvl w:val="0"/>
                <w:numId w:val="2"/>
              </w:numPr>
              <w:jc w:val="both"/>
            </w:pPr>
            <w:r w:rsidRPr="00E41F8A">
              <w:t xml:space="preserve">That </w:t>
            </w:r>
            <w:r w:rsidRPr="001275C8">
              <w:t>Cabinet notes the revenue and capital forecast positions set out in paragraphs 1.2 and 1.3.</w:t>
            </w:r>
          </w:p>
          <w:p w14:paraId="5DAFBC25" w14:textId="77777777" w:rsidR="008470E0" w:rsidRPr="00E41F8A" w:rsidRDefault="008470E0" w:rsidP="008470E0">
            <w:pPr>
              <w:ind w:left="720"/>
              <w:jc w:val="both"/>
            </w:pPr>
          </w:p>
          <w:p w14:paraId="39D1C9DC" w14:textId="7CF3E818" w:rsidR="008470E0" w:rsidRPr="00E41F8A" w:rsidRDefault="008470E0" w:rsidP="008470E0">
            <w:pPr>
              <w:numPr>
                <w:ilvl w:val="0"/>
                <w:numId w:val="2"/>
              </w:numPr>
              <w:jc w:val="both"/>
            </w:pPr>
            <w:bookmarkStart w:id="0" w:name="_Hlk82502342"/>
            <w:r w:rsidRPr="00E41F8A">
              <w:t xml:space="preserve">That Cabinet approve the </w:t>
            </w:r>
            <w:r w:rsidRPr="00745CE0">
              <w:t>proposed amendments to the Capital Programme as set out in paragraphs 3.3</w:t>
            </w:r>
            <w:r w:rsidR="00AF13E3">
              <w:t>4</w:t>
            </w:r>
            <w:r w:rsidRPr="00745CE0">
              <w:t xml:space="preserve"> to 3.3</w:t>
            </w:r>
            <w:r w:rsidR="00AF13E3">
              <w:t>9 and notes paragraphs 3.31 to 3.33</w:t>
            </w:r>
            <w:r w:rsidR="00E06706">
              <w:t>.</w:t>
            </w:r>
          </w:p>
          <w:bookmarkEnd w:id="0"/>
          <w:p w14:paraId="4039BE69" w14:textId="77777777" w:rsidR="008470E0" w:rsidRPr="00966427" w:rsidRDefault="008470E0" w:rsidP="008470E0">
            <w:pPr>
              <w:pStyle w:val="ListParagraph"/>
            </w:pPr>
          </w:p>
          <w:p w14:paraId="567460E6" w14:textId="77777777" w:rsidR="00C81665" w:rsidRDefault="008470E0" w:rsidP="00C81665">
            <w:pPr>
              <w:numPr>
                <w:ilvl w:val="0"/>
                <w:numId w:val="2"/>
              </w:numPr>
              <w:jc w:val="both"/>
            </w:pPr>
            <w:r w:rsidRPr="00966427">
              <w:t>That Cabinet note the Council’s Trading Update as detailed in Appendix 6.</w:t>
            </w:r>
          </w:p>
          <w:p w14:paraId="49B639B6" w14:textId="77777777" w:rsidR="00C81665" w:rsidRDefault="00C81665" w:rsidP="00C81665">
            <w:pPr>
              <w:pStyle w:val="ListParagraph"/>
            </w:pPr>
          </w:p>
          <w:p w14:paraId="5B84C736" w14:textId="529F30D4" w:rsidR="00C81665" w:rsidRPr="00C81665" w:rsidRDefault="00C81665" w:rsidP="00C81665">
            <w:pPr>
              <w:numPr>
                <w:ilvl w:val="0"/>
                <w:numId w:val="2"/>
              </w:numPr>
              <w:jc w:val="both"/>
            </w:pPr>
            <w:r>
              <w:t>T</w:t>
            </w:r>
            <w:r w:rsidR="001275C8">
              <w:t xml:space="preserve">hat Cabinet </w:t>
            </w:r>
            <w:r>
              <w:t xml:space="preserve">authorise the Director of Strategy and Partnerships, </w:t>
            </w:r>
            <w:r w:rsidR="00D130AA">
              <w:t xml:space="preserve">following </w:t>
            </w:r>
            <w:r>
              <w:t>consultation with the Portfolio Holder of Community Safety, Cohesion and Enforcement, to spend the expected grant received from the Government to support the Afghan Resettlement Programme, which over the three-year period of the funding programme is expected to be in the region of £1.5m.</w:t>
            </w:r>
          </w:p>
          <w:p w14:paraId="1C5763CC" w14:textId="5F9C5B87" w:rsidR="00C81665" w:rsidRDefault="00C81665" w:rsidP="008470E0">
            <w:pPr>
              <w:ind w:left="720"/>
              <w:jc w:val="both"/>
            </w:pPr>
          </w:p>
          <w:p w14:paraId="0D4EFE47" w14:textId="77777777" w:rsidR="00C81665" w:rsidRPr="00966427" w:rsidRDefault="00C81665" w:rsidP="008470E0">
            <w:pPr>
              <w:ind w:left="720"/>
              <w:jc w:val="both"/>
            </w:pPr>
          </w:p>
          <w:p w14:paraId="5EE15E54" w14:textId="550E85BA" w:rsidR="008470E0" w:rsidRPr="008470E0" w:rsidRDefault="008470E0" w:rsidP="008470E0">
            <w:pPr>
              <w:pStyle w:val="Heading2"/>
              <w:jc w:val="both"/>
              <w:rPr>
                <w:rFonts w:ascii="Arial" w:hAnsi="Arial" w:cs="Times New Roman"/>
                <w:sz w:val="28"/>
                <w:szCs w:val="22"/>
              </w:rPr>
            </w:pPr>
            <w:r w:rsidRPr="008470E0">
              <w:rPr>
                <w:rFonts w:ascii="Arial" w:hAnsi="Arial" w:cs="Times New Roman"/>
                <w:sz w:val="28"/>
                <w:szCs w:val="22"/>
              </w:rPr>
              <w:t xml:space="preserve">Reason: (For recommendations) </w:t>
            </w:r>
          </w:p>
          <w:p w14:paraId="06ECB381" w14:textId="34176EA3" w:rsidR="008470E0" w:rsidRDefault="008470E0" w:rsidP="008470E0">
            <w:pPr>
              <w:jc w:val="both"/>
            </w:pPr>
            <w:r w:rsidRPr="00290F2F">
              <w:t xml:space="preserve">To report the </w:t>
            </w:r>
            <w:r>
              <w:t>2021/22</w:t>
            </w:r>
            <w:r w:rsidRPr="00290F2F">
              <w:t xml:space="preserve"> financial </w:t>
            </w:r>
            <w:r>
              <w:t xml:space="preserve">forecast </w:t>
            </w:r>
            <w:r w:rsidRPr="00290F2F">
              <w:t>position</w:t>
            </w:r>
            <w:r>
              <w:t xml:space="preserve"> at Q</w:t>
            </w:r>
            <w:r w:rsidR="001B74AA">
              <w:t>2</w:t>
            </w:r>
            <w:r>
              <w:t xml:space="preserve"> and </w:t>
            </w:r>
            <w:r w:rsidRPr="00C102C7">
              <w:t>to update Cabinet on trading company performance</w:t>
            </w:r>
            <w:r>
              <w:t>.</w:t>
            </w:r>
          </w:p>
          <w:p w14:paraId="01FC3258" w14:textId="129CD253" w:rsidR="00C81665" w:rsidRDefault="00C81665" w:rsidP="008470E0">
            <w:pPr>
              <w:jc w:val="both"/>
              <w:rPr>
                <w:color w:val="FF0000"/>
              </w:rPr>
            </w:pPr>
          </w:p>
          <w:p w14:paraId="253D6F5A" w14:textId="232AB27E" w:rsidR="00C81665" w:rsidRPr="00C81665" w:rsidRDefault="00C81665" w:rsidP="008470E0">
            <w:pPr>
              <w:jc w:val="both"/>
              <w:rPr>
                <w:b/>
                <w:bCs/>
              </w:rPr>
            </w:pPr>
            <w:r w:rsidRPr="00C81665">
              <w:rPr>
                <w:b/>
                <w:bCs/>
              </w:rPr>
              <w:t>Afghan Resettlement Programme</w:t>
            </w:r>
          </w:p>
          <w:p w14:paraId="04BDABF3" w14:textId="4E701C61" w:rsidR="00C81665" w:rsidRDefault="00C81665" w:rsidP="00C81665">
            <w:pPr>
              <w:rPr>
                <w:rFonts w:ascii="Calibri" w:hAnsi="Calibri"/>
                <w:sz w:val="22"/>
              </w:rPr>
            </w:pPr>
            <w:r>
              <w:t>The Council will receive £20,520 over three years per family member. Given the average size of families in Holding Hotels is 6.6, if the Council takes 10 families, then this would equate to £1.35m over the three years of the programme. As this amount exceeds the £500,000 delegated authority for revenue spend, it is necessary to seek Cabinet approval for overall spend for the Afghan Resettlement Programme. The programme will be agreed in consultation with the Portfolio Holder of Community Safety, Cohesion and Enforcement.</w:t>
            </w:r>
          </w:p>
          <w:p w14:paraId="5810AC81" w14:textId="77777777" w:rsidR="00C81665" w:rsidRPr="00290F2F" w:rsidRDefault="00C81665" w:rsidP="008470E0">
            <w:pPr>
              <w:jc w:val="both"/>
              <w:rPr>
                <w:color w:val="FF0000"/>
              </w:rPr>
            </w:pPr>
          </w:p>
          <w:p w14:paraId="313BC81E" w14:textId="77777777" w:rsidR="00333FAA" w:rsidRDefault="00333FAA" w:rsidP="00605A4C"/>
        </w:tc>
      </w:tr>
    </w:tbl>
    <w:p w14:paraId="2AE9881A" w14:textId="5C1729C1" w:rsidR="008470E0" w:rsidRDefault="008470E0" w:rsidP="008470E0"/>
    <w:p w14:paraId="5CEB0322" w14:textId="77777777" w:rsidR="00C81665" w:rsidRDefault="00C81665" w:rsidP="008470E0">
      <w:pPr>
        <w:pStyle w:val="Heading1"/>
        <w:jc w:val="both"/>
      </w:pPr>
    </w:p>
    <w:p w14:paraId="4F46D731" w14:textId="77777777" w:rsidR="00C81665" w:rsidRDefault="00C81665" w:rsidP="008470E0">
      <w:pPr>
        <w:pStyle w:val="Heading1"/>
        <w:jc w:val="both"/>
      </w:pPr>
    </w:p>
    <w:p w14:paraId="68DB160E" w14:textId="77777777" w:rsidR="00C81665" w:rsidRDefault="00C81665" w:rsidP="008470E0">
      <w:pPr>
        <w:pStyle w:val="Heading1"/>
        <w:jc w:val="both"/>
      </w:pPr>
    </w:p>
    <w:p w14:paraId="256D7E87" w14:textId="77777777" w:rsidR="00C81665" w:rsidRDefault="00C81665" w:rsidP="008470E0">
      <w:pPr>
        <w:pStyle w:val="Heading1"/>
        <w:jc w:val="both"/>
      </w:pPr>
    </w:p>
    <w:p w14:paraId="2F8DF095" w14:textId="37E9F51F" w:rsidR="008470E0" w:rsidRPr="00290F2F" w:rsidRDefault="008470E0" w:rsidP="008470E0">
      <w:pPr>
        <w:pStyle w:val="Heading1"/>
        <w:jc w:val="both"/>
      </w:pPr>
      <w:r w:rsidRPr="00290F2F">
        <w:lastRenderedPageBreak/>
        <w:t>Section 2 – Report</w:t>
      </w:r>
    </w:p>
    <w:p w14:paraId="73535EDD" w14:textId="77777777" w:rsidR="008470E0" w:rsidRPr="00290F2F" w:rsidRDefault="008470E0" w:rsidP="008470E0">
      <w:pPr>
        <w:jc w:val="both"/>
        <w:rPr>
          <w:rFonts w:cs="Arial"/>
          <w:szCs w:val="24"/>
        </w:rPr>
      </w:pPr>
    </w:p>
    <w:p w14:paraId="606B4336" w14:textId="77777777" w:rsidR="008470E0" w:rsidRPr="00290F2F" w:rsidRDefault="008470E0" w:rsidP="008470E0">
      <w:pPr>
        <w:numPr>
          <w:ilvl w:val="0"/>
          <w:numId w:val="3"/>
        </w:numPr>
        <w:tabs>
          <w:tab w:val="left" w:pos="0"/>
        </w:tabs>
        <w:ind w:left="567" w:hanging="567"/>
        <w:jc w:val="both"/>
        <w:rPr>
          <w:rFonts w:cs="Arial"/>
          <w:b/>
          <w:bCs/>
          <w:szCs w:val="24"/>
          <w:u w:val="single"/>
        </w:rPr>
      </w:pPr>
      <w:r w:rsidRPr="00290F2F">
        <w:rPr>
          <w:rFonts w:cs="Arial"/>
          <w:b/>
          <w:bCs/>
          <w:szCs w:val="24"/>
          <w:u w:val="single"/>
        </w:rPr>
        <w:t>INTRODUCTION</w:t>
      </w:r>
    </w:p>
    <w:p w14:paraId="0DFE636F" w14:textId="77777777" w:rsidR="008470E0" w:rsidRPr="00290F2F" w:rsidRDefault="008470E0" w:rsidP="008470E0">
      <w:pPr>
        <w:ind w:left="567"/>
        <w:jc w:val="both"/>
        <w:rPr>
          <w:rFonts w:cs="Arial"/>
          <w:b/>
          <w:bCs/>
          <w:szCs w:val="24"/>
          <w:u w:val="single"/>
        </w:rPr>
      </w:pPr>
    </w:p>
    <w:p w14:paraId="7339539E" w14:textId="499CDAEB" w:rsidR="008470E0" w:rsidRDefault="008470E0" w:rsidP="008470E0">
      <w:pPr>
        <w:pStyle w:val="ListParagraph"/>
        <w:numPr>
          <w:ilvl w:val="0"/>
          <w:numId w:val="3"/>
        </w:numPr>
        <w:ind w:left="567" w:hanging="567"/>
        <w:contextualSpacing/>
        <w:jc w:val="both"/>
        <w:rPr>
          <w:rFonts w:cs="Arial"/>
          <w:szCs w:val="24"/>
        </w:rPr>
      </w:pPr>
      <w:r w:rsidRPr="00825082">
        <w:rPr>
          <w:rFonts w:cs="Arial"/>
          <w:szCs w:val="24"/>
        </w:rPr>
        <w:t xml:space="preserve">This is the </w:t>
      </w:r>
      <w:r w:rsidR="00C81665">
        <w:rPr>
          <w:rFonts w:cs="Arial"/>
          <w:szCs w:val="24"/>
        </w:rPr>
        <w:t>second</w:t>
      </w:r>
      <w:r w:rsidRPr="00825082">
        <w:rPr>
          <w:rFonts w:cs="Arial"/>
          <w:szCs w:val="24"/>
        </w:rPr>
        <w:t xml:space="preserve"> budget monitoring report for 202</w:t>
      </w:r>
      <w:r>
        <w:rPr>
          <w:rFonts w:cs="Arial"/>
          <w:szCs w:val="24"/>
        </w:rPr>
        <w:t>1/22</w:t>
      </w:r>
      <w:r w:rsidRPr="00825082">
        <w:rPr>
          <w:rFonts w:cs="Arial"/>
          <w:szCs w:val="24"/>
        </w:rPr>
        <w:t xml:space="preserve">.  </w:t>
      </w:r>
    </w:p>
    <w:p w14:paraId="7949BA5F" w14:textId="77777777" w:rsidR="008470E0" w:rsidRPr="00825082" w:rsidRDefault="008470E0" w:rsidP="008470E0">
      <w:pPr>
        <w:contextualSpacing/>
        <w:jc w:val="both"/>
        <w:rPr>
          <w:rFonts w:cs="Arial"/>
          <w:szCs w:val="24"/>
        </w:rPr>
      </w:pPr>
    </w:p>
    <w:p w14:paraId="1C7FD6F5" w14:textId="4AC63B93" w:rsidR="008470E0" w:rsidRDefault="008470E0" w:rsidP="008470E0">
      <w:pPr>
        <w:pStyle w:val="ListParagraph"/>
        <w:numPr>
          <w:ilvl w:val="0"/>
          <w:numId w:val="3"/>
        </w:numPr>
        <w:ind w:left="567" w:hanging="567"/>
        <w:contextualSpacing/>
        <w:jc w:val="both"/>
        <w:rPr>
          <w:rFonts w:cs="Arial"/>
          <w:szCs w:val="24"/>
        </w:rPr>
      </w:pPr>
      <w:r>
        <w:rPr>
          <w:rFonts w:cs="Arial"/>
          <w:szCs w:val="24"/>
        </w:rPr>
        <w:t xml:space="preserve">The revenue budget in 2021/22 is £179.442m which is net of government and other specific grants. A list of external grants is shown at Appendix 3. </w:t>
      </w:r>
      <w:r w:rsidRPr="004B1A15">
        <w:rPr>
          <w:rFonts w:cs="Arial"/>
          <w:szCs w:val="24"/>
        </w:rPr>
        <w:t>The net forecast position on the revenue budget at Q</w:t>
      </w:r>
      <w:r w:rsidR="001B74AA">
        <w:rPr>
          <w:rFonts w:cs="Arial"/>
          <w:szCs w:val="24"/>
        </w:rPr>
        <w:t>2</w:t>
      </w:r>
      <w:r w:rsidRPr="004B1A15">
        <w:rPr>
          <w:rFonts w:cs="Arial"/>
          <w:szCs w:val="24"/>
        </w:rPr>
        <w:t xml:space="preserve"> is an overspend of £</w:t>
      </w:r>
      <w:r w:rsidR="001B74AA">
        <w:rPr>
          <w:rFonts w:cs="Arial"/>
          <w:szCs w:val="24"/>
        </w:rPr>
        <w:t>101</w:t>
      </w:r>
      <w:r w:rsidRPr="004B1A15">
        <w:rPr>
          <w:rFonts w:cs="Arial"/>
          <w:szCs w:val="24"/>
        </w:rPr>
        <w:t>k, after the planned use of reserves which are largely applied to fund one-off projects and cross divisional adjustments</w:t>
      </w:r>
      <w:r>
        <w:rPr>
          <w:rFonts w:cs="Arial"/>
          <w:szCs w:val="24"/>
        </w:rPr>
        <w:t>.</w:t>
      </w:r>
    </w:p>
    <w:p w14:paraId="6F664600" w14:textId="77777777" w:rsidR="008470E0" w:rsidRPr="00AC7EB2" w:rsidRDefault="008470E0" w:rsidP="008470E0">
      <w:pPr>
        <w:contextualSpacing/>
        <w:jc w:val="both"/>
        <w:rPr>
          <w:rFonts w:cs="Arial"/>
          <w:szCs w:val="24"/>
        </w:rPr>
      </w:pPr>
    </w:p>
    <w:p w14:paraId="41985567" w14:textId="3589EA62" w:rsidR="008470E0" w:rsidRPr="00AC7EB2" w:rsidRDefault="008470E0" w:rsidP="008470E0">
      <w:pPr>
        <w:pStyle w:val="ListParagraph"/>
        <w:numPr>
          <w:ilvl w:val="0"/>
          <w:numId w:val="3"/>
        </w:numPr>
        <w:ind w:left="567" w:hanging="567"/>
        <w:contextualSpacing/>
        <w:jc w:val="both"/>
        <w:rPr>
          <w:rFonts w:cs="Arial"/>
          <w:szCs w:val="24"/>
        </w:rPr>
      </w:pPr>
      <w:r w:rsidRPr="00AC7EB2">
        <w:rPr>
          <w:rFonts w:cs="Arial"/>
          <w:szCs w:val="24"/>
        </w:rPr>
        <w:t xml:space="preserve">The general fund capital programme budget in 2021/22 </w:t>
      </w:r>
      <w:r w:rsidRPr="00AC7EB2">
        <w:rPr>
          <w:rFonts w:cs="Arial"/>
          <w:bCs/>
          <w:szCs w:val="24"/>
        </w:rPr>
        <w:t>is £11</w:t>
      </w:r>
      <w:r w:rsidR="00872667" w:rsidRPr="00AC7EB2">
        <w:rPr>
          <w:rFonts w:cs="Arial"/>
          <w:bCs/>
          <w:szCs w:val="24"/>
        </w:rPr>
        <w:t>3.027</w:t>
      </w:r>
      <w:r w:rsidRPr="00AC7EB2">
        <w:rPr>
          <w:rFonts w:cs="Arial"/>
          <w:bCs/>
          <w:szCs w:val="24"/>
        </w:rPr>
        <w:t>m. The net forecast position on the capital budget at Q</w:t>
      </w:r>
      <w:r w:rsidR="00872667" w:rsidRPr="00AC7EB2">
        <w:rPr>
          <w:rFonts w:cs="Arial"/>
          <w:bCs/>
          <w:szCs w:val="24"/>
        </w:rPr>
        <w:t>2</w:t>
      </w:r>
      <w:r w:rsidRPr="00AC7EB2">
        <w:rPr>
          <w:rFonts w:cs="Arial"/>
          <w:bCs/>
          <w:szCs w:val="24"/>
        </w:rPr>
        <w:t xml:space="preserve"> is £</w:t>
      </w:r>
      <w:r w:rsidR="00872667" w:rsidRPr="00AC7EB2">
        <w:rPr>
          <w:rFonts w:cs="Arial"/>
          <w:bCs/>
          <w:szCs w:val="24"/>
        </w:rPr>
        <w:t>88.826</w:t>
      </w:r>
      <w:r w:rsidRPr="00AC7EB2">
        <w:rPr>
          <w:rFonts w:cs="Arial"/>
          <w:bCs/>
          <w:szCs w:val="24"/>
        </w:rPr>
        <w:t xml:space="preserve">m which represents </w:t>
      </w:r>
      <w:r w:rsidR="00AC7EB2" w:rsidRPr="00AC7EB2">
        <w:rPr>
          <w:rFonts w:cs="Arial"/>
          <w:bCs/>
          <w:szCs w:val="24"/>
        </w:rPr>
        <w:t>79</w:t>
      </w:r>
      <w:r w:rsidRPr="00AC7EB2">
        <w:rPr>
          <w:rFonts w:cs="Arial"/>
          <w:bCs/>
          <w:szCs w:val="24"/>
        </w:rPr>
        <w:t>% of the total capital programme budget. The variance of £2</w:t>
      </w:r>
      <w:r w:rsidR="00AC7EB2" w:rsidRPr="00AC7EB2">
        <w:rPr>
          <w:rFonts w:cs="Arial"/>
          <w:bCs/>
          <w:szCs w:val="24"/>
        </w:rPr>
        <w:t>4.201</w:t>
      </w:r>
      <w:r w:rsidRPr="00AC7EB2">
        <w:rPr>
          <w:rFonts w:cs="Arial"/>
          <w:bCs/>
          <w:szCs w:val="24"/>
        </w:rPr>
        <w:t>m is made up of proposed slippage of £</w:t>
      </w:r>
      <w:r w:rsidR="00AC7EB2" w:rsidRPr="00AC7EB2">
        <w:rPr>
          <w:rFonts w:cs="Arial"/>
          <w:bCs/>
          <w:szCs w:val="24"/>
        </w:rPr>
        <w:t>19.721m</w:t>
      </w:r>
      <w:r w:rsidRPr="00AC7EB2">
        <w:rPr>
          <w:rFonts w:cs="Arial"/>
          <w:bCs/>
          <w:szCs w:val="24"/>
        </w:rPr>
        <w:t xml:space="preserve"> and an underspend of £</w:t>
      </w:r>
      <w:r w:rsidR="00AC7EB2" w:rsidRPr="00AC7EB2">
        <w:rPr>
          <w:rFonts w:cs="Arial"/>
          <w:bCs/>
          <w:szCs w:val="24"/>
        </w:rPr>
        <w:t>4.480</w:t>
      </w:r>
      <w:r w:rsidRPr="00AC7EB2">
        <w:rPr>
          <w:rFonts w:cs="Arial"/>
          <w:bCs/>
          <w:szCs w:val="24"/>
        </w:rPr>
        <w:t>m.</w:t>
      </w:r>
    </w:p>
    <w:p w14:paraId="0C111D5F" w14:textId="77777777" w:rsidR="008470E0" w:rsidRPr="00075D7E" w:rsidRDefault="008470E0" w:rsidP="008470E0">
      <w:pPr>
        <w:pStyle w:val="ListParagraph"/>
        <w:rPr>
          <w:rFonts w:cs="Arial"/>
          <w:bCs/>
          <w:szCs w:val="24"/>
        </w:rPr>
      </w:pPr>
    </w:p>
    <w:p w14:paraId="35704F80" w14:textId="54B16AB4" w:rsidR="008470E0" w:rsidRPr="00AC7EB2" w:rsidRDefault="008470E0" w:rsidP="008470E0">
      <w:pPr>
        <w:pStyle w:val="ListParagraph"/>
        <w:numPr>
          <w:ilvl w:val="0"/>
          <w:numId w:val="3"/>
        </w:numPr>
        <w:ind w:left="567" w:hanging="567"/>
        <w:contextualSpacing/>
        <w:jc w:val="both"/>
        <w:rPr>
          <w:rFonts w:cs="Arial"/>
          <w:szCs w:val="24"/>
        </w:rPr>
      </w:pPr>
      <w:r w:rsidRPr="00AC7EB2">
        <w:rPr>
          <w:rFonts w:cs="Arial"/>
          <w:bCs/>
          <w:szCs w:val="24"/>
        </w:rPr>
        <w:t>The Housing Revenue Account capital programme budget is £</w:t>
      </w:r>
      <w:r w:rsidR="00AC7EB2" w:rsidRPr="00AC7EB2">
        <w:rPr>
          <w:rFonts w:cs="Arial"/>
          <w:bCs/>
          <w:szCs w:val="24"/>
        </w:rPr>
        <w:t>102.645m</w:t>
      </w:r>
      <w:r w:rsidRPr="00AC7EB2">
        <w:rPr>
          <w:rFonts w:cs="Arial"/>
          <w:bCs/>
          <w:szCs w:val="24"/>
        </w:rPr>
        <w:t>. The net forecast position on the HRA capital budget at Q</w:t>
      </w:r>
      <w:r w:rsidR="00AC7EB2" w:rsidRPr="00AC7EB2">
        <w:rPr>
          <w:rFonts w:cs="Arial"/>
          <w:bCs/>
          <w:szCs w:val="24"/>
        </w:rPr>
        <w:t>2</w:t>
      </w:r>
      <w:r w:rsidRPr="00AC7EB2">
        <w:rPr>
          <w:rFonts w:cs="Arial"/>
          <w:bCs/>
          <w:szCs w:val="24"/>
        </w:rPr>
        <w:t xml:space="preserve"> is £9</w:t>
      </w:r>
      <w:r w:rsidR="00AC7EB2" w:rsidRPr="00AC7EB2">
        <w:rPr>
          <w:rFonts w:cs="Arial"/>
          <w:bCs/>
          <w:szCs w:val="24"/>
        </w:rPr>
        <w:t>9.595</w:t>
      </w:r>
      <w:r w:rsidRPr="00AC7EB2">
        <w:rPr>
          <w:rFonts w:cs="Arial"/>
          <w:bCs/>
          <w:szCs w:val="24"/>
        </w:rPr>
        <w:t>m which represents 9</w:t>
      </w:r>
      <w:r w:rsidR="00AC7EB2" w:rsidRPr="00AC7EB2">
        <w:rPr>
          <w:rFonts w:cs="Arial"/>
          <w:bCs/>
          <w:szCs w:val="24"/>
        </w:rPr>
        <w:t>7</w:t>
      </w:r>
      <w:r w:rsidRPr="00AC7EB2">
        <w:rPr>
          <w:rFonts w:cs="Arial"/>
          <w:bCs/>
          <w:szCs w:val="24"/>
        </w:rPr>
        <w:t>% of the total HRA capital programme budget. The variance of £</w:t>
      </w:r>
      <w:r w:rsidR="00AC7EB2" w:rsidRPr="00AC7EB2">
        <w:rPr>
          <w:rFonts w:cs="Arial"/>
          <w:bCs/>
          <w:szCs w:val="24"/>
        </w:rPr>
        <w:t>3.050m</w:t>
      </w:r>
      <w:r w:rsidRPr="00AC7EB2">
        <w:rPr>
          <w:rFonts w:cs="Arial"/>
          <w:bCs/>
          <w:szCs w:val="24"/>
        </w:rPr>
        <w:t xml:space="preserve"> is made up of proposed slippage of £</w:t>
      </w:r>
      <w:r w:rsidR="00AC7EB2" w:rsidRPr="00AC7EB2">
        <w:rPr>
          <w:rFonts w:cs="Arial"/>
          <w:bCs/>
          <w:szCs w:val="24"/>
        </w:rPr>
        <w:t>2.3m</w:t>
      </w:r>
      <w:r w:rsidRPr="00AC7EB2">
        <w:rPr>
          <w:rFonts w:cs="Arial"/>
          <w:bCs/>
          <w:szCs w:val="24"/>
        </w:rPr>
        <w:t xml:space="preserve"> and a net underspend of £7</w:t>
      </w:r>
      <w:r w:rsidR="00AC7EB2" w:rsidRPr="00AC7EB2">
        <w:rPr>
          <w:rFonts w:cs="Arial"/>
          <w:bCs/>
          <w:szCs w:val="24"/>
        </w:rPr>
        <w:t>50</w:t>
      </w:r>
      <w:r w:rsidRPr="00AC7EB2">
        <w:rPr>
          <w:rFonts w:cs="Arial"/>
          <w:bCs/>
          <w:szCs w:val="24"/>
        </w:rPr>
        <w:t>k.</w:t>
      </w:r>
    </w:p>
    <w:p w14:paraId="30A6BC04" w14:textId="77777777" w:rsidR="008470E0" w:rsidRPr="00CD5B85" w:rsidRDefault="008470E0" w:rsidP="008470E0">
      <w:pPr>
        <w:pStyle w:val="ListParagraph"/>
        <w:spacing w:after="120"/>
        <w:ind w:left="689" w:right="306"/>
        <w:contextualSpacing/>
        <w:jc w:val="both"/>
        <w:rPr>
          <w:rFonts w:cs="Arial"/>
          <w:szCs w:val="24"/>
        </w:rPr>
      </w:pPr>
    </w:p>
    <w:p w14:paraId="0787A91E" w14:textId="77777777" w:rsidR="008470E0" w:rsidRPr="00CD5B85" w:rsidRDefault="008470E0" w:rsidP="008470E0">
      <w:pPr>
        <w:pStyle w:val="ListParagraph"/>
        <w:numPr>
          <w:ilvl w:val="0"/>
          <w:numId w:val="6"/>
        </w:numPr>
        <w:ind w:left="567" w:hanging="567"/>
        <w:jc w:val="both"/>
        <w:rPr>
          <w:rFonts w:cs="Arial"/>
          <w:b/>
          <w:szCs w:val="24"/>
          <w:u w:val="single"/>
        </w:rPr>
      </w:pPr>
      <w:r w:rsidRPr="00CD5B85">
        <w:rPr>
          <w:rFonts w:cs="Arial"/>
          <w:b/>
          <w:szCs w:val="24"/>
          <w:u w:val="single"/>
        </w:rPr>
        <w:t>REVENUE MONITORING</w:t>
      </w:r>
    </w:p>
    <w:p w14:paraId="7A6F9832" w14:textId="77777777" w:rsidR="008470E0" w:rsidRPr="00CD5B85" w:rsidRDefault="008470E0" w:rsidP="008470E0">
      <w:pPr>
        <w:pStyle w:val="ListParagraph"/>
        <w:ind w:left="567"/>
        <w:jc w:val="both"/>
        <w:rPr>
          <w:rFonts w:cs="Arial"/>
          <w:b/>
          <w:szCs w:val="24"/>
          <w:u w:val="single"/>
        </w:rPr>
      </w:pPr>
    </w:p>
    <w:p w14:paraId="16091597" w14:textId="0B91C9E1" w:rsidR="00A949D7" w:rsidRPr="00A949D7" w:rsidRDefault="008470E0" w:rsidP="008470E0">
      <w:pPr>
        <w:pStyle w:val="ListParagraph"/>
        <w:numPr>
          <w:ilvl w:val="0"/>
          <w:numId w:val="6"/>
        </w:numPr>
        <w:ind w:left="567" w:hanging="567"/>
        <w:jc w:val="both"/>
        <w:rPr>
          <w:rFonts w:cs="Arial"/>
          <w:szCs w:val="24"/>
        </w:rPr>
      </w:pPr>
      <w:r w:rsidRPr="00CD5B85">
        <w:rPr>
          <w:rFonts w:cs="Arial"/>
          <w:bCs/>
          <w:szCs w:val="24"/>
        </w:rPr>
        <w:t xml:space="preserve">The </w:t>
      </w:r>
      <w:r>
        <w:rPr>
          <w:rFonts w:cs="Arial"/>
          <w:bCs/>
          <w:szCs w:val="24"/>
        </w:rPr>
        <w:t>net forecast position on the revenue budget at Q</w:t>
      </w:r>
      <w:r w:rsidR="001B74AA">
        <w:rPr>
          <w:rFonts w:cs="Arial"/>
          <w:bCs/>
          <w:szCs w:val="24"/>
        </w:rPr>
        <w:t>2</w:t>
      </w:r>
      <w:r>
        <w:rPr>
          <w:rFonts w:cs="Arial"/>
          <w:bCs/>
          <w:szCs w:val="24"/>
        </w:rPr>
        <w:t xml:space="preserve"> is an overspend of £</w:t>
      </w:r>
      <w:r w:rsidR="001B74AA">
        <w:rPr>
          <w:rFonts w:cs="Arial"/>
          <w:bCs/>
          <w:szCs w:val="24"/>
        </w:rPr>
        <w:t>10</w:t>
      </w:r>
      <w:r>
        <w:rPr>
          <w:rFonts w:cs="Arial"/>
          <w:bCs/>
          <w:szCs w:val="24"/>
        </w:rPr>
        <w:t xml:space="preserve">1k. </w:t>
      </w:r>
    </w:p>
    <w:p w14:paraId="0EF74567" w14:textId="77777777" w:rsidR="00A949D7" w:rsidRPr="00A949D7" w:rsidRDefault="00A949D7" w:rsidP="00A949D7">
      <w:pPr>
        <w:pStyle w:val="ListParagraph"/>
        <w:rPr>
          <w:rFonts w:cs="Arial"/>
          <w:szCs w:val="24"/>
        </w:rPr>
      </w:pPr>
    </w:p>
    <w:p w14:paraId="72FA7F6C" w14:textId="684E8498" w:rsidR="00A949D7" w:rsidRPr="00A949D7" w:rsidRDefault="00A949D7" w:rsidP="008470E0">
      <w:pPr>
        <w:pStyle w:val="ListParagraph"/>
        <w:numPr>
          <w:ilvl w:val="0"/>
          <w:numId w:val="6"/>
        </w:numPr>
        <w:ind w:left="567" w:hanging="567"/>
        <w:jc w:val="both"/>
        <w:rPr>
          <w:rFonts w:cs="Arial"/>
          <w:szCs w:val="24"/>
        </w:rPr>
      </w:pPr>
      <w:r>
        <w:rPr>
          <w:rFonts w:cs="Arial"/>
          <w:szCs w:val="24"/>
        </w:rPr>
        <w:t>This is a reduction of £540k from the position reported at Q1 which is largely due to technical adjustments in the Corporate budgets.</w:t>
      </w:r>
    </w:p>
    <w:p w14:paraId="758DFBEC" w14:textId="77777777" w:rsidR="00A949D7" w:rsidRPr="00A949D7" w:rsidRDefault="00A949D7" w:rsidP="00A949D7">
      <w:pPr>
        <w:pStyle w:val="ListParagraph"/>
        <w:rPr>
          <w:rFonts w:cs="Arial"/>
          <w:bCs/>
          <w:szCs w:val="24"/>
        </w:rPr>
      </w:pPr>
    </w:p>
    <w:p w14:paraId="262EAE20" w14:textId="721E78B1" w:rsidR="008470E0" w:rsidRPr="008470E0" w:rsidRDefault="008470E0" w:rsidP="008470E0">
      <w:pPr>
        <w:pStyle w:val="ListParagraph"/>
        <w:numPr>
          <w:ilvl w:val="0"/>
          <w:numId w:val="6"/>
        </w:numPr>
        <w:ind w:left="567" w:hanging="567"/>
        <w:jc w:val="both"/>
        <w:rPr>
          <w:rFonts w:cs="Arial"/>
          <w:szCs w:val="24"/>
        </w:rPr>
      </w:pPr>
      <w:r w:rsidRPr="00CD5B85">
        <w:rPr>
          <w:rFonts w:cs="Arial"/>
          <w:bCs/>
          <w:szCs w:val="24"/>
        </w:rPr>
        <w:t>The summary of the</w:t>
      </w:r>
      <w:r>
        <w:rPr>
          <w:rFonts w:cs="Arial"/>
          <w:bCs/>
          <w:szCs w:val="24"/>
        </w:rPr>
        <w:t xml:space="preserve"> outturn</w:t>
      </w:r>
      <w:r w:rsidRPr="00CD5B85">
        <w:rPr>
          <w:rFonts w:cs="Arial"/>
          <w:bCs/>
          <w:szCs w:val="24"/>
        </w:rPr>
        <w:t xml:space="preserve"> by </w:t>
      </w:r>
      <w:r>
        <w:rPr>
          <w:rFonts w:cs="Arial"/>
          <w:bCs/>
          <w:szCs w:val="24"/>
        </w:rPr>
        <w:t xml:space="preserve">each </w:t>
      </w:r>
      <w:r w:rsidRPr="00CD5B85">
        <w:rPr>
          <w:rFonts w:cs="Arial"/>
          <w:bCs/>
          <w:szCs w:val="24"/>
        </w:rPr>
        <w:t>division is set out in Table 1 with a more detailed breakdown at Appendix 1:</w:t>
      </w:r>
    </w:p>
    <w:p w14:paraId="1960CB18" w14:textId="77777777" w:rsidR="008470E0" w:rsidRPr="00CD5B85" w:rsidRDefault="008470E0" w:rsidP="008470E0">
      <w:pPr>
        <w:pStyle w:val="ListParagraph"/>
        <w:ind w:left="567"/>
        <w:jc w:val="both"/>
        <w:rPr>
          <w:rFonts w:cs="Arial"/>
          <w:szCs w:val="24"/>
        </w:rPr>
      </w:pPr>
    </w:p>
    <w:p w14:paraId="2BFB1635" w14:textId="77777777" w:rsidR="00E06706" w:rsidRDefault="00E06706" w:rsidP="008470E0">
      <w:pPr>
        <w:jc w:val="both"/>
        <w:rPr>
          <w:rFonts w:cs="Arial"/>
          <w:b/>
          <w:szCs w:val="24"/>
          <w:u w:val="single"/>
        </w:rPr>
      </w:pPr>
    </w:p>
    <w:p w14:paraId="57BB1F8E" w14:textId="77777777" w:rsidR="00E06706" w:rsidRDefault="00E06706" w:rsidP="008470E0">
      <w:pPr>
        <w:jc w:val="both"/>
        <w:rPr>
          <w:rFonts w:cs="Arial"/>
          <w:b/>
          <w:szCs w:val="24"/>
          <w:u w:val="single"/>
        </w:rPr>
      </w:pPr>
    </w:p>
    <w:p w14:paraId="329BBFB9" w14:textId="77777777" w:rsidR="00E06706" w:rsidRDefault="00E06706" w:rsidP="008470E0">
      <w:pPr>
        <w:jc w:val="both"/>
        <w:rPr>
          <w:rFonts w:cs="Arial"/>
          <w:b/>
          <w:szCs w:val="24"/>
          <w:u w:val="single"/>
        </w:rPr>
      </w:pPr>
    </w:p>
    <w:p w14:paraId="388814EB" w14:textId="77777777" w:rsidR="00E06706" w:rsidRDefault="00E06706" w:rsidP="008470E0">
      <w:pPr>
        <w:jc w:val="both"/>
        <w:rPr>
          <w:rFonts w:cs="Arial"/>
          <w:b/>
          <w:szCs w:val="24"/>
          <w:u w:val="single"/>
        </w:rPr>
      </w:pPr>
    </w:p>
    <w:p w14:paraId="6422A4FC" w14:textId="77777777" w:rsidR="00E06706" w:rsidRDefault="00E06706" w:rsidP="008470E0">
      <w:pPr>
        <w:jc w:val="both"/>
        <w:rPr>
          <w:rFonts w:cs="Arial"/>
          <w:b/>
          <w:szCs w:val="24"/>
          <w:u w:val="single"/>
        </w:rPr>
      </w:pPr>
    </w:p>
    <w:p w14:paraId="116EEDF9" w14:textId="77777777" w:rsidR="00E06706" w:rsidRDefault="00E06706" w:rsidP="008470E0">
      <w:pPr>
        <w:jc w:val="both"/>
        <w:rPr>
          <w:rFonts w:cs="Arial"/>
          <w:b/>
          <w:szCs w:val="24"/>
          <w:u w:val="single"/>
        </w:rPr>
      </w:pPr>
    </w:p>
    <w:p w14:paraId="501E3729" w14:textId="77777777" w:rsidR="00E06706" w:rsidRDefault="00E06706" w:rsidP="008470E0">
      <w:pPr>
        <w:jc w:val="both"/>
        <w:rPr>
          <w:rFonts w:cs="Arial"/>
          <w:b/>
          <w:szCs w:val="24"/>
          <w:u w:val="single"/>
        </w:rPr>
      </w:pPr>
    </w:p>
    <w:p w14:paraId="032886B0" w14:textId="77777777" w:rsidR="00E06706" w:rsidRDefault="00E06706" w:rsidP="008470E0">
      <w:pPr>
        <w:jc w:val="both"/>
        <w:rPr>
          <w:rFonts w:cs="Arial"/>
          <w:b/>
          <w:szCs w:val="24"/>
          <w:u w:val="single"/>
        </w:rPr>
      </w:pPr>
    </w:p>
    <w:p w14:paraId="23A0BF8A" w14:textId="77777777" w:rsidR="00E06706" w:rsidRDefault="00E06706" w:rsidP="008470E0">
      <w:pPr>
        <w:jc w:val="both"/>
        <w:rPr>
          <w:rFonts w:cs="Arial"/>
          <w:b/>
          <w:szCs w:val="24"/>
          <w:u w:val="single"/>
        </w:rPr>
      </w:pPr>
    </w:p>
    <w:p w14:paraId="14D48477" w14:textId="77777777" w:rsidR="00E06706" w:rsidRDefault="00E06706" w:rsidP="008470E0">
      <w:pPr>
        <w:jc w:val="both"/>
        <w:rPr>
          <w:rFonts w:cs="Arial"/>
          <w:b/>
          <w:szCs w:val="24"/>
          <w:u w:val="single"/>
        </w:rPr>
      </w:pPr>
    </w:p>
    <w:p w14:paraId="38D907C6" w14:textId="77777777" w:rsidR="00E06706" w:rsidRDefault="00E06706" w:rsidP="008470E0">
      <w:pPr>
        <w:jc w:val="both"/>
        <w:rPr>
          <w:rFonts w:cs="Arial"/>
          <w:b/>
          <w:szCs w:val="24"/>
          <w:u w:val="single"/>
        </w:rPr>
      </w:pPr>
    </w:p>
    <w:p w14:paraId="5C8502EA" w14:textId="77777777" w:rsidR="00E06706" w:rsidRDefault="00E06706" w:rsidP="008470E0">
      <w:pPr>
        <w:jc w:val="both"/>
        <w:rPr>
          <w:rFonts w:cs="Arial"/>
          <w:b/>
          <w:szCs w:val="24"/>
          <w:u w:val="single"/>
        </w:rPr>
      </w:pPr>
    </w:p>
    <w:p w14:paraId="6D176C0E" w14:textId="77777777" w:rsidR="00E06706" w:rsidRDefault="00E06706" w:rsidP="008470E0">
      <w:pPr>
        <w:jc w:val="both"/>
        <w:rPr>
          <w:rFonts w:cs="Arial"/>
          <w:b/>
          <w:szCs w:val="24"/>
          <w:u w:val="single"/>
        </w:rPr>
      </w:pPr>
    </w:p>
    <w:p w14:paraId="2F47F939" w14:textId="77777777" w:rsidR="00E06706" w:rsidRDefault="00E06706" w:rsidP="008470E0">
      <w:pPr>
        <w:jc w:val="both"/>
        <w:rPr>
          <w:rFonts w:cs="Arial"/>
          <w:b/>
          <w:szCs w:val="24"/>
          <w:u w:val="single"/>
        </w:rPr>
      </w:pPr>
    </w:p>
    <w:p w14:paraId="265ED552" w14:textId="77777777" w:rsidR="00E06706" w:rsidRDefault="00E06706" w:rsidP="008470E0">
      <w:pPr>
        <w:jc w:val="both"/>
        <w:rPr>
          <w:rFonts w:cs="Arial"/>
          <w:b/>
          <w:szCs w:val="24"/>
          <w:u w:val="single"/>
        </w:rPr>
      </w:pPr>
    </w:p>
    <w:p w14:paraId="39E1CC2F" w14:textId="77777777" w:rsidR="00E06706" w:rsidRDefault="00E06706" w:rsidP="008470E0">
      <w:pPr>
        <w:jc w:val="both"/>
        <w:rPr>
          <w:rFonts w:cs="Arial"/>
          <w:b/>
          <w:szCs w:val="24"/>
          <w:u w:val="single"/>
        </w:rPr>
      </w:pPr>
    </w:p>
    <w:p w14:paraId="51088293" w14:textId="1F2A6E9A" w:rsidR="008470E0" w:rsidRDefault="008470E0" w:rsidP="008470E0">
      <w:pPr>
        <w:jc w:val="both"/>
        <w:rPr>
          <w:rFonts w:cs="Arial"/>
          <w:b/>
          <w:szCs w:val="24"/>
          <w:u w:val="single"/>
        </w:rPr>
      </w:pPr>
      <w:r w:rsidRPr="00213F4C">
        <w:rPr>
          <w:rFonts w:cs="Arial"/>
          <w:b/>
          <w:szCs w:val="24"/>
          <w:u w:val="single"/>
        </w:rPr>
        <w:lastRenderedPageBreak/>
        <w:t>Table 1: Summary of Revenue Budget Monitoring</w:t>
      </w:r>
      <w:r>
        <w:rPr>
          <w:rFonts w:cs="Arial"/>
          <w:b/>
          <w:szCs w:val="24"/>
          <w:u w:val="single"/>
        </w:rPr>
        <w:t xml:space="preserve"> Forecast</w:t>
      </w:r>
      <w:r w:rsidRPr="00213F4C">
        <w:rPr>
          <w:rFonts w:cs="Arial"/>
          <w:b/>
          <w:szCs w:val="24"/>
          <w:u w:val="single"/>
        </w:rPr>
        <w:t xml:space="preserve"> – </w:t>
      </w:r>
      <w:r>
        <w:rPr>
          <w:rFonts w:cs="Arial"/>
          <w:b/>
          <w:szCs w:val="24"/>
          <w:u w:val="single"/>
        </w:rPr>
        <w:t>Q</w:t>
      </w:r>
      <w:r w:rsidR="001B74AA">
        <w:rPr>
          <w:rFonts w:cs="Arial"/>
          <w:b/>
          <w:szCs w:val="24"/>
          <w:u w:val="single"/>
        </w:rPr>
        <w:t>2</w:t>
      </w:r>
      <w:r>
        <w:rPr>
          <w:rFonts w:cs="Arial"/>
          <w:b/>
          <w:szCs w:val="24"/>
          <w:u w:val="single"/>
        </w:rPr>
        <w:t xml:space="preserve"> 2021/22</w:t>
      </w:r>
    </w:p>
    <w:p w14:paraId="2CE1EEFA" w14:textId="77777777" w:rsidR="008470E0" w:rsidRPr="00213F4C" w:rsidRDefault="008470E0" w:rsidP="008470E0">
      <w:pPr>
        <w:jc w:val="both"/>
        <w:rPr>
          <w:rFonts w:cs="Arial"/>
          <w:b/>
          <w:szCs w:val="24"/>
          <w:u w:val="single"/>
        </w:rPr>
      </w:pPr>
    </w:p>
    <w:p w14:paraId="4E862F06" w14:textId="0A455C77" w:rsidR="008470E0" w:rsidRPr="00290F2F" w:rsidRDefault="00293B82" w:rsidP="001836AC">
      <w:pPr>
        <w:ind w:left="-567" w:right="-480"/>
        <w:jc w:val="both"/>
        <w:rPr>
          <w:rFonts w:cs="Arial"/>
          <w:b/>
          <w:color w:val="FF0000"/>
          <w:szCs w:val="24"/>
          <w:u w:val="single"/>
        </w:rPr>
      </w:pPr>
      <w:r w:rsidRPr="00293B82">
        <w:rPr>
          <w:noProof/>
        </w:rPr>
        <w:drawing>
          <wp:inline distT="0" distB="0" distL="0" distR="0" wp14:anchorId="7F15265F" wp14:editId="6427A6D3">
            <wp:extent cx="5919788" cy="455757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4155" cy="4560936"/>
                    </a:xfrm>
                    <a:prstGeom prst="rect">
                      <a:avLst/>
                    </a:prstGeom>
                    <a:noFill/>
                    <a:ln>
                      <a:noFill/>
                    </a:ln>
                  </pic:spPr>
                </pic:pic>
              </a:graphicData>
            </a:graphic>
          </wp:inline>
        </w:drawing>
      </w:r>
    </w:p>
    <w:p w14:paraId="0C93EF78" w14:textId="77777777" w:rsidR="008470E0" w:rsidRDefault="008470E0" w:rsidP="008470E0">
      <w:pPr>
        <w:pStyle w:val="ListParagraph"/>
        <w:ind w:left="567"/>
        <w:jc w:val="both"/>
        <w:rPr>
          <w:rFonts w:cs="Arial"/>
          <w:b/>
          <w:szCs w:val="24"/>
          <w:u w:val="single"/>
        </w:rPr>
      </w:pPr>
      <w:bookmarkStart w:id="1" w:name="_Hlk48039303"/>
      <w:bookmarkStart w:id="2" w:name="_Hlk54352665"/>
      <w:bookmarkStart w:id="3" w:name="_Hlk62420623"/>
    </w:p>
    <w:p w14:paraId="5AFB7FF1" w14:textId="77777777" w:rsidR="004B4AC2" w:rsidRDefault="004B4AC2" w:rsidP="008470E0">
      <w:pPr>
        <w:pStyle w:val="ListParagraph"/>
        <w:ind w:left="567"/>
        <w:jc w:val="both"/>
        <w:rPr>
          <w:rFonts w:cs="Arial"/>
          <w:b/>
          <w:szCs w:val="24"/>
          <w:u w:val="single"/>
        </w:rPr>
      </w:pPr>
    </w:p>
    <w:p w14:paraId="2094FFCD" w14:textId="77777777" w:rsidR="004B4AC2" w:rsidRDefault="004B4AC2" w:rsidP="008470E0">
      <w:pPr>
        <w:pStyle w:val="ListParagraph"/>
        <w:ind w:left="567"/>
        <w:jc w:val="both"/>
        <w:rPr>
          <w:rFonts w:cs="Arial"/>
          <w:b/>
          <w:szCs w:val="24"/>
          <w:u w:val="single"/>
        </w:rPr>
      </w:pPr>
    </w:p>
    <w:p w14:paraId="66E0E957" w14:textId="7D682D0B" w:rsidR="008470E0" w:rsidRPr="00C8641F" w:rsidRDefault="008470E0" w:rsidP="008470E0">
      <w:pPr>
        <w:pStyle w:val="ListParagraph"/>
        <w:ind w:left="567"/>
        <w:jc w:val="both"/>
        <w:rPr>
          <w:rFonts w:cs="Arial"/>
          <w:b/>
          <w:szCs w:val="24"/>
          <w:u w:val="single"/>
        </w:rPr>
      </w:pPr>
      <w:r w:rsidRPr="00C8641F">
        <w:rPr>
          <w:rFonts w:cs="Arial"/>
          <w:b/>
          <w:szCs w:val="24"/>
          <w:u w:val="single"/>
        </w:rPr>
        <w:t xml:space="preserve">RESOURCES  </w:t>
      </w:r>
    </w:p>
    <w:p w14:paraId="5D6497BA" w14:textId="2ACF0F9B" w:rsidR="008470E0" w:rsidRPr="003946FE" w:rsidRDefault="008470E0" w:rsidP="008470E0">
      <w:pPr>
        <w:pStyle w:val="ListParagraph"/>
        <w:ind w:left="567"/>
        <w:jc w:val="both"/>
        <w:rPr>
          <w:rFonts w:cs="Arial"/>
          <w:b/>
          <w:szCs w:val="24"/>
        </w:rPr>
      </w:pPr>
    </w:p>
    <w:p w14:paraId="380055A9" w14:textId="77777777" w:rsidR="001836AC" w:rsidRDefault="008470E0" w:rsidP="008470E0">
      <w:pPr>
        <w:pStyle w:val="ListParagraph"/>
        <w:numPr>
          <w:ilvl w:val="0"/>
          <w:numId w:val="6"/>
        </w:numPr>
        <w:ind w:left="567" w:hanging="567"/>
        <w:jc w:val="both"/>
        <w:rPr>
          <w:rFonts w:cs="Arial"/>
          <w:szCs w:val="24"/>
        </w:rPr>
      </w:pPr>
      <w:r w:rsidRPr="007A2971">
        <w:rPr>
          <w:rFonts w:cs="Arial"/>
          <w:szCs w:val="24"/>
        </w:rPr>
        <w:t>A</w:t>
      </w:r>
      <w:r>
        <w:rPr>
          <w:rFonts w:cs="Arial"/>
          <w:szCs w:val="24"/>
        </w:rPr>
        <w:t>s at Q</w:t>
      </w:r>
      <w:r w:rsidR="00293B82">
        <w:rPr>
          <w:rFonts w:cs="Arial"/>
          <w:szCs w:val="24"/>
        </w:rPr>
        <w:t>2</w:t>
      </w:r>
      <w:r>
        <w:rPr>
          <w:rFonts w:cs="Arial"/>
          <w:szCs w:val="24"/>
        </w:rPr>
        <w:t xml:space="preserve"> the directorate is reporting a net overspend of £1.</w:t>
      </w:r>
      <w:r w:rsidR="00293B82">
        <w:rPr>
          <w:rFonts w:cs="Arial"/>
          <w:szCs w:val="24"/>
        </w:rPr>
        <w:t>426</w:t>
      </w:r>
      <w:r>
        <w:rPr>
          <w:rFonts w:cs="Arial"/>
          <w:szCs w:val="24"/>
        </w:rPr>
        <w:t xml:space="preserve">m after a draw down from reserves and cross divisional adjustments. </w:t>
      </w:r>
    </w:p>
    <w:p w14:paraId="40C63216" w14:textId="77777777" w:rsidR="001836AC" w:rsidRDefault="001836AC" w:rsidP="00417851">
      <w:pPr>
        <w:pStyle w:val="ListParagraph"/>
        <w:ind w:left="567"/>
        <w:jc w:val="both"/>
        <w:rPr>
          <w:rFonts w:cs="Arial"/>
          <w:szCs w:val="24"/>
        </w:rPr>
      </w:pPr>
    </w:p>
    <w:p w14:paraId="525A2CB0" w14:textId="0D67CB3C" w:rsidR="001836AC" w:rsidRDefault="001836AC" w:rsidP="001836AC">
      <w:pPr>
        <w:pStyle w:val="ListParagraph"/>
        <w:ind w:left="567"/>
        <w:jc w:val="both"/>
        <w:rPr>
          <w:rFonts w:cs="Arial"/>
          <w:szCs w:val="24"/>
        </w:rPr>
      </w:pPr>
    </w:p>
    <w:p w14:paraId="61EC693A" w14:textId="77777777" w:rsidR="003774CC" w:rsidRDefault="003774CC" w:rsidP="001836AC">
      <w:pPr>
        <w:pStyle w:val="ListParagraph"/>
        <w:ind w:left="567"/>
        <w:jc w:val="both"/>
        <w:rPr>
          <w:rFonts w:cs="Arial"/>
          <w:szCs w:val="24"/>
        </w:rPr>
      </w:pPr>
    </w:p>
    <w:tbl>
      <w:tblPr>
        <w:tblStyle w:val="TableGrid"/>
        <w:tblW w:w="8789" w:type="dxa"/>
        <w:tblInd w:w="-5" w:type="dxa"/>
        <w:tblLook w:val="04A0" w:firstRow="1" w:lastRow="0" w:firstColumn="1" w:lastColumn="0" w:noHBand="0" w:noVBand="1"/>
      </w:tblPr>
      <w:tblGrid>
        <w:gridCol w:w="2410"/>
        <w:gridCol w:w="2268"/>
        <w:gridCol w:w="2268"/>
        <w:gridCol w:w="1843"/>
      </w:tblGrid>
      <w:tr w:rsidR="00417851" w:rsidRPr="00417851" w14:paraId="492D72C5" w14:textId="77777777" w:rsidTr="00417851">
        <w:tc>
          <w:tcPr>
            <w:tcW w:w="2410" w:type="dxa"/>
          </w:tcPr>
          <w:p w14:paraId="0C4E7BA2" w14:textId="667A54FD" w:rsidR="00417851" w:rsidRPr="00417851" w:rsidRDefault="00417851" w:rsidP="00417851">
            <w:pPr>
              <w:pStyle w:val="ListParagraph"/>
              <w:ind w:left="0"/>
              <w:jc w:val="both"/>
              <w:rPr>
                <w:rFonts w:cs="Arial"/>
                <w:b/>
                <w:bCs/>
                <w:sz w:val="22"/>
                <w:szCs w:val="22"/>
              </w:rPr>
            </w:pPr>
            <w:r w:rsidRPr="00417851">
              <w:rPr>
                <w:b/>
                <w:bCs/>
                <w:sz w:val="22"/>
                <w:szCs w:val="22"/>
              </w:rPr>
              <w:t>Period</w:t>
            </w:r>
          </w:p>
        </w:tc>
        <w:tc>
          <w:tcPr>
            <w:tcW w:w="2268" w:type="dxa"/>
          </w:tcPr>
          <w:p w14:paraId="02FEE823" w14:textId="7A4B6382" w:rsidR="00417851" w:rsidRPr="00417851" w:rsidRDefault="00417851" w:rsidP="00417851">
            <w:pPr>
              <w:pStyle w:val="ListParagraph"/>
              <w:ind w:left="0"/>
              <w:jc w:val="both"/>
              <w:rPr>
                <w:rFonts w:cs="Arial"/>
                <w:b/>
                <w:bCs/>
                <w:sz w:val="22"/>
                <w:szCs w:val="22"/>
              </w:rPr>
            </w:pPr>
            <w:r w:rsidRPr="00417851">
              <w:rPr>
                <w:b/>
                <w:bCs/>
                <w:sz w:val="22"/>
                <w:szCs w:val="22"/>
              </w:rPr>
              <w:t>Budget £’000</w:t>
            </w:r>
          </w:p>
        </w:tc>
        <w:tc>
          <w:tcPr>
            <w:tcW w:w="2268" w:type="dxa"/>
          </w:tcPr>
          <w:p w14:paraId="39E9BD69" w14:textId="544562C2" w:rsidR="00417851" w:rsidRPr="00417851" w:rsidRDefault="00417851" w:rsidP="00417851">
            <w:pPr>
              <w:pStyle w:val="ListParagraph"/>
              <w:ind w:left="0"/>
              <w:jc w:val="both"/>
              <w:rPr>
                <w:rFonts w:cs="Arial"/>
                <w:b/>
                <w:bCs/>
                <w:sz w:val="22"/>
                <w:szCs w:val="22"/>
              </w:rPr>
            </w:pPr>
            <w:r w:rsidRPr="00417851">
              <w:rPr>
                <w:b/>
                <w:bCs/>
                <w:sz w:val="22"/>
                <w:szCs w:val="22"/>
              </w:rPr>
              <w:t>Forecast £’000</w:t>
            </w:r>
          </w:p>
        </w:tc>
        <w:tc>
          <w:tcPr>
            <w:tcW w:w="1843" w:type="dxa"/>
          </w:tcPr>
          <w:p w14:paraId="57142A87" w14:textId="32D9927D" w:rsidR="00417851" w:rsidRPr="00417851" w:rsidRDefault="00417851" w:rsidP="00417851">
            <w:pPr>
              <w:pStyle w:val="ListParagraph"/>
              <w:ind w:left="0"/>
              <w:jc w:val="both"/>
              <w:rPr>
                <w:rFonts w:cs="Arial"/>
                <w:b/>
                <w:bCs/>
                <w:sz w:val="22"/>
                <w:szCs w:val="22"/>
              </w:rPr>
            </w:pPr>
            <w:r w:rsidRPr="00417851">
              <w:rPr>
                <w:b/>
                <w:bCs/>
                <w:sz w:val="22"/>
                <w:szCs w:val="22"/>
              </w:rPr>
              <w:t>Variance £’000</w:t>
            </w:r>
          </w:p>
        </w:tc>
      </w:tr>
      <w:tr w:rsidR="00417851" w:rsidRPr="00417851" w14:paraId="4EC56E73" w14:textId="77777777" w:rsidTr="00417851">
        <w:tc>
          <w:tcPr>
            <w:tcW w:w="2410" w:type="dxa"/>
          </w:tcPr>
          <w:p w14:paraId="6F98DAB6" w14:textId="1FFADB0E" w:rsidR="00417851" w:rsidRPr="00417851" w:rsidRDefault="00417851" w:rsidP="00417851">
            <w:pPr>
              <w:pStyle w:val="ListParagraph"/>
              <w:ind w:left="0"/>
              <w:jc w:val="both"/>
              <w:rPr>
                <w:rFonts w:cs="Arial"/>
                <w:sz w:val="22"/>
                <w:szCs w:val="22"/>
              </w:rPr>
            </w:pPr>
            <w:r w:rsidRPr="00417851">
              <w:rPr>
                <w:sz w:val="22"/>
                <w:szCs w:val="22"/>
              </w:rPr>
              <w:t>Q1</w:t>
            </w:r>
          </w:p>
        </w:tc>
        <w:tc>
          <w:tcPr>
            <w:tcW w:w="2268" w:type="dxa"/>
          </w:tcPr>
          <w:p w14:paraId="3C648D53" w14:textId="75B270EA" w:rsidR="00417851" w:rsidRPr="00417851" w:rsidRDefault="00417851" w:rsidP="00417851">
            <w:pPr>
              <w:pStyle w:val="ListParagraph"/>
              <w:ind w:left="0"/>
              <w:jc w:val="right"/>
              <w:rPr>
                <w:rFonts w:cs="Arial"/>
                <w:sz w:val="22"/>
                <w:szCs w:val="22"/>
              </w:rPr>
            </w:pPr>
            <w:r w:rsidRPr="00417851">
              <w:rPr>
                <w:sz w:val="22"/>
                <w:szCs w:val="22"/>
              </w:rPr>
              <w:t>£38,730</w:t>
            </w:r>
          </w:p>
        </w:tc>
        <w:tc>
          <w:tcPr>
            <w:tcW w:w="2268" w:type="dxa"/>
          </w:tcPr>
          <w:p w14:paraId="560B6E94" w14:textId="59A2B020" w:rsidR="00417851" w:rsidRPr="00417851" w:rsidRDefault="00417851" w:rsidP="00417851">
            <w:pPr>
              <w:pStyle w:val="ListParagraph"/>
              <w:ind w:left="0"/>
              <w:jc w:val="right"/>
              <w:rPr>
                <w:rFonts w:cs="Arial"/>
                <w:sz w:val="22"/>
                <w:szCs w:val="22"/>
              </w:rPr>
            </w:pPr>
            <w:r w:rsidRPr="00417851">
              <w:rPr>
                <w:sz w:val="22"/>
                <w:szCs w:val="22"/>
              </w:rPr>
              <w:t>£39,923</w:t>
            </w:r>
          </w:p>
        </w:tc>
        <w:tc>
          <w:tcPr>
            <w:tcW w:w="1843" w:type="dxa"/>
          </w:tcPr>
          <w:p w14:paraId="0F9E045A" w14:textId="514BA3D9" w:rsidR="00417851" w:rsidRPr="00417851" w:rsidRDefault="00417851" w:rsidP="00417851">
            <w:pPr>
              <w:pStyle w:val="ListParagraph"/>
              <w:ind w:left="0"/>
              <w:jc w:val="right"/>
              <w:rPr>
                <w:rFonts w:cs="Arial"/>
                <w:sz w:val="22"/>
                <w:szCs w:val="22"/>
              </w:rPr>
            </w:pPr>
            <w:r w:rsidRPr="00417851">
              <w:rPr>
                <w:sz w:val="22"/>
                <w:szCs w:val="22"/>
              </w:rPr>
              <w:t>£1,193</w:t>
            </w:r>
          </w:p>
        </w:tc>
      </w:tr>
      <w:tr w:rsidR="00417851" w:rsidRPr="00417851" w14:paraId="58F4624E" w14:textId="77777777" w:rsidTr="00417851">
        <w:tc>
          <w:tcPr>
            <w:tcW w:w="2410" w:type="dxa"/>
          </w:tcPr>
          <w:p w14:paraId="072B1716" w14:textId="031E2D52" w:rsidR="00417851" w:rsidRPr="00417851" w:rsidRDefault="00417851" w:rsidP="00417851">
            <w:pPr>
              <w:pStyle w:val="ListParagraph"/>
              <w:ind w:left="0"/>
              <w:jc w:val="both"/>
              <w:rPr>
                <w:rFonts w:cs="Arial"/>
                <w:sz w:val="22"/>
                <w:szCs w:val="22"/>
              </w:rPr>
            </w:pPr>
            <w:r w:rsidRPr="00417851">
              <w:rPr>
                <w:sz w:val="22"/>
                <w:szCs w:val="22"/>
              </w:rPr>
              <w:t>Q2</w:t>
            </w:r>
          </w:p>
        </w:tc>
        <w:tc>
          <w:tcPr>
            <w:tcW w:w="2268" w:type="dxa"/>
          </w:tcPr>
          <w:p w14:paraId="0AE286DD" w14:textId="37BD45DB" w:rsidR="00417851" w:rsidRPr="00417851" w:rsidRDefault="00417851" w:rsidP="00417851">
            <w:pPr>
              <w:pStyle w:val="ListParagraph"/>
              <w:ind w:left="0"/>
              <w:jc w:val="right"/>
              <w:rPr>
                <w:rFonts w:cs="Arial"/>
                <w:sz w:val="22"/>
                <w:szCs w:val="22"/>
              </w:rPr>
            </w:pPr>
            <w:r w:rsidRPr="00417851">
              <w:rPr>
                <w:sz w:val="22"/>
                <w:szCs w:val="22"/>
              </w:rPr>
              <w:t>£38,795</w:t>
            </w:r>
          </w:p>
        </w:tc>
        <w:tc>
          <w:tcPr>
            <w:tcW w:w="2268" w:type="dxa"/>
          </w:tcPr>
          <w:p w14:paraId="1B214A49" w14:textId="732DBCB2" w:rsidR="00417851" w:rsidRPr="00417851" w:rsidRDefault="00417851" w:rsidP="00417851">
            <w:pPr>
              <w:pStyle w:val="ListParagraph"/>
              <w:ind w:left="0"/>
              <w:jc w:val="right"/>
              <w:rPr>
                <w:rFonts w:cs="Arial"/>
                <w:sz w:val="22"/>
                <w:szCs w:val="22"/>
              </w:rPr>
            </w:pPr>
            <w:r w:rsidRPr="00417851">
              <w:rPr>
                <w:sz w:val="22"/>
                <w:szCs w:val="22"/>
              </w:rPr>
              <w:t>£40,221</w:t>
            </w:r>
          </w:p>
        </w:tc>
        <w:tc>
          <w:tcPr>
            <w:tcW w:w="1843" w:type="dxa"/>
          </w:tcPr>
          <w:p w14:paraId="672B9B33" w14:textId="3CACFD36" w:rsidR="00417851" w:rsidRPr="00417851" w:rsidRDefault="00417851" w:rsidP="00417851">
            <w:pPr>
              <w:pStyle w:val="ListParagraph"/>
              <w:ind w:left="0"/>
              <w:jc w:val="right"/>
              <w:rPr>
                <w:rFonts w:cs="Arial"/>
                <w:sz w:val="22"/>
                <w:szCs w:val="22"/>
              </w:rPr>
            </w:pPr>
            <w:r w:rsidRPr="00417851">
              <w:rPr>
                <w:sz w:val="22"/>
                <w:szCs w:val="22"/>
              </w:rPr>
              <w:t>£1,426</w:t>
            </w:r>
          </w:p>
        </w:tc>
      </w:tr>
      <w:tr w:rsidR="00417851" w:rsidRPr="00417851" w14:paraId="5CE6E2F0" w14:textId="77777777" w:rsidTr="00417851">
        <w:tc>
          <w:tcPr>
            <w:tcW w:w="2410" w:type="dxa"/>
          </w:tcPr>
          <w:p w14:paraId="326C3C9A" w14:textId="2CF8B6B6" w:rsidR="00417851" w:rsidRPr="00417851" w:rsidRDefault="00417851" w:rsidP="00417851">
            <w:pPr>
              <w:pStyle w:val="ListParagraph"/>
              <w:ind w:left="0"/>
              <w:jc w:val="both"/>
              <w:rPr>
                <w:rFonts w:cs="Arial"/>
                <w:b/>
                <w:bCs/>
                <w:sz w:val="22"/>
                <w:szCs w:val="22"/>
              </w:rPr>
            </w:pPr>
            <w:r w:rsidRPr="00417851">
              <w:rPr>
                <w:b/>
                <w:bCs/>
                <w:sz w:val="22"/>
                <w:szCs w:val="22"/>
              </w:rPr>
              <w:t>Variance</w:t>
            </w:r>
          </w:p>
        </w:tc>
        <w:tc>
          <w:tcPr>
            <w:tcW w:w="2268" w:type="dxa"/>
          </w:tcPr>
          <w:p w14:paraId="0C2ADBAB" w14:textId="5C861D96" w:rsidR="00417851" w:rsidRPr="00417851" w:rsidRDefault="00417851" w:rsidP="00417851">
            <w:pPr>
              <w:pStyle w:val="ListParagraph"/>
              <w:ind w:left="0"/>
              <w:jc w:val="right"/>
              <w:rPr>
                <w:rFonts w:cs="Arial"/>
                <w:b/>
                <w:bCs/>
                <w:sz w:val="22"/>
                <w:szCs w:val="22"/>
              </w:rPr>
            </w:pPr>
            <w:r w:rsidRPr="00417851">
              <w:rPr>
                <w:b/>
                <w:bCs/>
                <w:sz w:val="22"/>
                <w:szCs w:val="22"/>
              </w:rPr>
              <w:t>£65</w:t>
            </w:r>
          </w:p>
        </w:tc>
        <w:tc>
          <w:tcPr>
            <w:tcW w:w="2268" w:type="dxa"/>
          </w:tcPr>
          <w:p w14:paraId="7D5DB9DB" w14:textId="2029E98C" w:rsidR="00417851" w:rsidRPr="00417851" w:rsidRDefault="00417851" w:rsidP="00417851">
            <w:pPr>
              <w:pStyle w:val="ListParagraph"/>
              <w:ind w:left="0"/>
              <w:jc w:val="right"/>
              <w:rPr>
                <w:rFonts w:cs="Arial"/>
                <w:b/>
                <w:bCs/>
                <w:sz w:val="22"/>
                <w:szCs w:val="22"/>
              </w:rPr>
            </w:pPr>
            <w:r w:rsidRPr="00417851">
              <w:rPr>
                <w:b/>
                <w:bCs/>
                <w:sz w:val="22"/>
                <w:szCs w:val="22"/>
              </w:rPr>
              <w:t>£298</w:t>
            </w:r>
          </w:p>
        </w:tc>
        <w:tc>
          <w:tcPr>
            <w:tcW w:w="1843" w:type="dxa"/>
          </w:tcPr>
          <w:p w14:paraId="0FB00591" w14:textId="02F1627A" w:rsidR="00417851" w:rsidRPr="00417851" w:rsidRDefault="00417851" w:rsidP="00417851">
            <w:pPr>
              <w:pStyle w:val="ListParagraph"/>
              <w:ind w:left="0"/>
              <w:jc w:val="right"/>
              <w:rPr>
                <w:rFonts w:cs="Arial"/>
                <w:b/>
                <w:bCs/>
                <w:sz w:val="22"/>
                <w:szCs w:val="22"/>
              </w:rPr>
            </w:pPr>
            <w:r w:rsidRPr="00417851">
              <w:rPr>
                <w:b/>
                <w:bCs/>
                <w:sz w:val="22"/>
                <w:szCs w:val="22"/>
              </w:rPr>
              <w:t>£233</w:t>
            </w:r>
          </w:p>
        </w:tc>
      </w:tr>
    </w:tbl>
    <w:p w14:paraId="5B485808" w14:textId="77777777" w:rsidR="001836AC" w:rsidRDefault="001836AC" w:rsidP="001836AC">
      <w:pPr>
        <w:pStyle w:val="ListParagraph"/>
        <w:ind w:left="567"/>
        <w:jc w:val="both"/>
        <w:rPr>
          <w:rFonts w:cs="Arial"/>
          <w:szCs w:val="24"/>
        </w:rPr>
      </w:pPr>
    </w:p>
    <w:p w14:paraId="2E96C0A7" w14:textId="0060E671" w:rsidR="00417851" w:rsidRDefault="00417851" w:rsidP="008470E0">
      <w:pPr>
        <w:pStyle w:val="ListParagraph"/>
        <w:numPr>
          <w:ilvl w:val="0"/>
          <w:numId w:val="6"/>
        </w:numPr>
        <w:ind w:left="567" w:hanging="567"/>
        <w:jc w:val="both"/>
        <w:rPr>
          <w:rFonts w:cs="Arial"/>
          <w:szCs w:val="24"/>
        </w:rPr>
      </w:pPr>
      <w:r>
        <w:rPr>
          <w:rFonts w:cs="Arial"/>
          <w:szCs w:val="24"/>
        </w:rPr>
        <w:t>This is an increase since Q2 of £233k which is largely due to additional expenditure funded from C</w:t>
      </w:r>
      <w:r w:rsidR="00E06706">
        <w:rPr>
          <w:rFonts w:cs="Arial"/>
          <w:szCs w:val="24"/>
        </w:rPr>
        <w:t>ontrolling Outbreak Management Fund (COMF)</w:t>
      </w:r>
      <w:r>
        <w:rPr>
          <w:rFonts w:cs="Arial"/>
          <w:szCs w:val="24"/>
        </w:rPr>
        <w:t xml:space="preserve"> grant which is held within the corporate budgets.</w:t>
      </w:r>
    </w:p>
    <w:p w14:paraId="0EAFB4CC" w14:textId="77777777" w:rsidR="00417851" w:rsidRDefault="00417851" w:rsidP="00417851">
      <w:pPr>
        <w:pStyle w:val="ListParagraph"/>
        <w:ind w:left="567"/>
        <w:jc w:val="both"/>
        <w:rPr>
          <w:rFonts w:cs="Arial"/>
          <w:szCs w:val="24"/>
        </w:rPr>
      </w:pPr>
    </w:p>
    <w:p w14:paraId="771DB4B3" w14:textId="1C1FFD14" w:rsidR="008470E0" w:rsidRDefault="008470E0" w:rsidP="008470E0">
      <w:pPr>
        <w:pStyle w:val="ListParagraph"/>
        <w:numPr>
          <w:ilvl w:val="0"/>
          <w:numId w:val="6"/>
        </w:numPr>
        <w:ind w:left="567" w:hanging="567"/>
        <w:jc w:val="both"/>
        <w:rPr>
          <w:rFonts w:cs="Arial"/>
          <w:szCs w:val="24"/>
        </w:rPr>
      </w:pPr>
      <w:r>
        <w:rPr>
          <w:rFonts w:cs="Arial"/>
          <w:szCs w:val="24"/>
        </w:rPr>
        <w:t xml:space="preserve">The main variances </w:t>
      </w:r>
      <w:r w:rsidR="00417851">
        <w:rPr>
          <w:rFonts w:cs="Arial"/>
          <w:szCs w:val="24"/>
        </w:rPr>
        <w:t xml:space="preserve">at Q2 </w:t>
      </w:r>
      <w:r>
        <w:rPr>
          <w:rFonts w:cs="Arial"/>
          <w:szCs w:val="24"/>
        </w:rPr>
        <w:t>are detailed in the following paragraphs.</w:t>
      </w:r>
    </w:p>
    <w:p w14:paraId="49AA3A14" w14:textId="7674531E" w:rsidR="008470E0" w:rsidRDefault="008470E0" w:rsidP="008470E0">
      <w:pPr>
        <w:pStyle w:val="ListParagraph"/>
        <w:ind w:left="873"/>
        <w:jc w:val="both"/>
        <w:rPr>
          <w:rFonts w:cs="Arial"/>
          <w:szCs w:val="24"/>
        </w:rPr>
      </w:pPr>
    </w:p>
    <w:p w14:paraId="2282DF45" w14:textId="1EEAE269" w:rsidR="008470E0" w:rsidRDefault="008470E0" w:rsidP="008470E0">
      <w:pPr>
        <w:pStyle w:val="ListParagraph"/>
        <w:numPr>
          <w:ilvl w:val="1"/>
          <w:numId w:val="6"/>
        </w:numPr>
        <w:ind w:left="873" w:hanging="567"/>
        <w:jc w:val="both"/>
        <w:rPr>
          <w:rFonts w:cs="Arial"/>
          <w:szCs w:val="24"/>
        </w:rPr>
      </w:pPr>
      <w:r w:rsidRPr="007B6882">
        <w:rPr>
          <w:rFonts w:cs="Arial"/>
          <w:b/>
          <w:bCs/>
          <w:szCs w:val="24"/>
        </w:rPr>
        <w:t>Business Support</w:t>
      </w:r>
      <w:r>
        <w:rPr>
          <w:rFonts w:cs="Arial"/>
          <w:szCs w:val="24"/>
        </w:rPr>
        <w:t xml:space="preserve"> – net overspend £</w:t>
      </w:r>
      <w:r w:rsidR="00167B02">
        <w:rPr>
          <w:rFonts w:cs="Arial"/>
          <w:szCs w:val="24"/>
        </w:rPr>
        <w:t>28</w:t>
      </w:r>
      <w:r>
        <w:rPr>
          <w:rFonts w:cs="Arial"/>
          <w:szCs w:val="24"/>
        </w:rPr>
        <w:t>k. This relates to a scanning project which was scheduled in the previous financial year but delayed due to Covid-19</w:t>
      </w:r>
    </w:p>
    <w:p w14:paraId="11BC10EB" w14:textId="77777777" w:rsidR="008470E0" w:rsidRPr="007B6882" w:rsidRDefault="008470E0" w:rsidP="008470E0">
      <w:pPr>
        <w:pStyle w:val="ListParagraph"/>
        <w:ind w:left="873"/>
        <w:jc w:val="both"/>
        <w:rPr>
          <w:rFonts w:cs="Arial"/>
          <w:szCs w:val="24"/>
        </w:rPr>
      </w:pPr>
    </w:p>
    <w:p w14:paraId="76E1B958" w14:textId="68FCBF81" w:rsidR="008470E0" w:rsidRDefault="008470E0" w:rsidP="008470E0">
      <w:pPr>
        <w:pStyle w:val="ListParagraph"/>
        <w:numPr>
          <w:ilvl w:val="1"/>
          <w:numId w:val="6"/>
        </w:numPr>
        <w:ind w:left="873" w:hanging="567"/>
        <w:jc w:val="both"/>
        <w:rPr>
          <w:rFonts w:cs="Arial"/>
          <w:szCs w:val="24"/>
        </w:rPr>
      </w:pPr>
      <w:r w:rsidRPr="007B6882">
        <w:rPr>
          <w:rFonts w:cs="Arial"/>
          <w:b/>
          <w:bCs/>
          <w:szCs w:val="24"/>
        </w:rPr>
        <w:t>Customer Services/Access Harrow</w:t>
      </w:r>
      <w:r>
        <w:rPr>
          <w:rFonts w:cs="Arial"/>
          <w:szCs w:val="24"/>
        </w:rPr>
        <w:t xml:space="preserve"> – net overspend £35</w:t>
      </w:r>
      <w:r w:rsidR="00167B02">
        <w:rPr>
          <w:rFonts w:cs="Arial"/>
          <w:szCs w:val="24"/>
        </w:rPr>
        <w:t>0</w:t>
      </w:r>
      <w:r>
        <w:rPr>
          <w:rFonts w:cs="Arial"/>
          <w:szCs w:val="24"/>
        </w:rPr>
        <w:t xml:space="preserve">k. This reflects unachieved savings of £50k (£175k 2020/21 and £175k 2021/22). Cabinet agreed to close the telephone lines for Council Tax and Benefits resulting in a saving in staffing costs. The closure was due to take place from 1 October 2020 however Covid-19 prevented to the start of the programme of work required to shift to digital channels. </w:t>
      </w:r>
      <w:r w:rsidR="00167B02">
        <w:rPr>
          <w:rFonts w:cs="Arial"/>
          <w:szCs w:val="24"/>
        </w:rPr>
        <w:t>The delays are due to the team working on supporting CEV residents, the Community Hub, Track &amp; Trace, Testing and the Revenues service. It is anticipated that the work can be carried out over the next nine months although there are ongoing discussions regarding the future of this team. In the meantime, the discovery work for the digitalisation of Revenues &amp; Benefits has commenced.</w:t>
      </w:r>
    </w:p>
    <w:p w14:paraId="6CBF7350" w14:textId="77777777" w:rsidR="00167B02" w:rsidRPr="00167B02" w:rsidRDefault="00167B02" w:rsidP="00167B02">
      <w:pPr>
        <w:pStyle w:val="ListParagraph"/>
        <w:rPr>
          <w:rFonts w:cs="Arial"/>
          <w:szCs w:val="24"/>
        </w:rPr>
      </w:pPr>
    </w:p>
    <w:p w14:paraId="7581DFB5" w14:textId="380446E0" w:rsidR="00167B02" w:rsidRDefault="008470E0" w:rsidP="00167B02">
      <w:pPr>
        <w:pStyle w:val="ListParagraph"/>
        <w:numPr>
          <w:ilvl w:val="1"/>
          <w:numId w:val="6"/>
        </w:numPr>
        <w:ind w:left="873" w:hanging="567"/>
        <w:jc w:val="both"/>
        <w:rPr>
          <w:rFonts w:cs="Arial"/>
          <w:szCs w:val="24"/>
        </w:rPr>
      </w:pPr>
      <w:r w:rsidRPr="00167B02">
        <w:rPr>
          <w:rFonts w:cs="Arial"/>
          <w:b/>
          <w:bCs/>
          <w:szCs w:val="24"/>
        </w:rPr>
        <w:t>Management</w:t>
      </w:r>
      <w:r w:rsidRPr="00167B02">
        <w:rPr>
          <w:rFonts w:cs="Arial"/>
          <w:szCs w:val="24"/>
        </w:rPr>
        <w:t xml:space="preserve"> – net overspend £1</w:t>
      </w:r>
      <w:r w:rsidR="00167B02" w:rsidRPr="00167B02">
        <w:rPr>
          <w:rFonts w:cs="Arial"/>
          <w:szCs w:val="24"/>
        </w:rPr>
        <w:t>3</w:t>
      </w:r>
      <w:r w:rsidRPr="00167B02">
        <w:rPr>
          <w:rFonts w:cs="Arial"/>
          <w:szCs w:val="24"/>
        </w:rPr>
        <w:t>k. This is due to additional subscription costs</w:t>
      </w:r>
      <w:r w:rsidR="00167B02">
        <w:rPr>
          <w:rFonts w:cs="Arial"/>
          <w:szCs w:val="24"/>
        </w:rPr>
        <w:t>.</w:t>
      </w:r>
    </w:p>
    <w:p w14:paraId="171FCA88" w14:textId="77777777" w:rsidR="00167B02" w:rsidRPr="00167B02" w:rsidRDefault="00167B02" w:rsidP="00167B02">
      <w:pPr>
        <w:jc w:val="both"/>
        <w:rPr>
          <w:rFonts w:cs="Arial"/>
          <w:szCs w:val="24"/>
        </w:rPr>
      </w:pPr>
    </w:p>
    <w:p w14:paraId="78672942" w14:textId="021D9D04" w:rsidR="008470E0" w:rsidRDefault="008470E0" w:rsidP="008470E0">
      <w:pPr>
        <w:pStyle w:val="ListParagraph"/>
        <w:numPr>
          <w:ilvl w:val="1"/>
          <w:numId w:val="6"/>
        </w:numPr>
        <w:ind w:left="873" w:hanging="567"/>
        <w:jc w:val="both"/>
        <w:rPr>
          <w:rFonts w:cs="Arial"/>
          <w:szCs w:val="24"/>
        </w:rPr>
      </w:pPr>
      <w:r w:rsidRPr="007B6882">
        <w:rPr>
          <w:rFonts w:cs="Arial"/>
          <w:b/>
          <w:bCs/>
          <w:szCs w:val="24"/>
        </w:rPr>
        <w:t>Strategy</w:t>
      </w:r>
      <w:r>
        <w:rPr>
          <w:rFonts w:cs="Arial"/>
          <w:szCs w:val="24"/>
        </w:rPr>
        <w:t xml:space="preserve"> – net overspend £</w:t>
      </w:r>
      <w:r w:rsidR="00167B02">
        <w:rPr>
          <w:rFonts w:cs="Arial"/>
          <w:szCs w:val="24"/>
        </w:rPr>
        <w:t>583</w:t>
      </w:r>
      <w:r>
        <w:rPr>
          <w:rFonts w:cs="Arial"/>
          <w:szCs w:val="24"/>
        </w:rPr>
        <w:t xml:space="preserve">k. </w:t>
      </w:r>
      <w:r w:rsidR="00167B02">
        <w:rPr>
          <w:rFonts w:cs="Arial"/>
          <w:szCs w:val="24"/>
        </w:rPr>
        <w:t>£572k is funded from the COMF grant.</w:t>
      </w:r>
    </w:p>
    <w:p w14:paraId="28A6B241" w14:textId="77777777" w:rsidR="008470E0" w:rsidRDefault="008470E0" w:rsidP="008470E0">
      <w:pPr>
        <w:pStyle w:val="ListParagraph"/>
        <w:ind w:left="873"/>
        <w:jc w:val="both"/>
        <w:rPr>
          <w:rFonts w:cs="Arial"/>
          <w:szCs w:val="24"/>
        </w:rPr>
      </w:pPr>
    </w:p>
    <w:p w14:paraId="1E112309" w14:textId="350AD14C" w:rsidR="008470E0" w:rsidRDefault="008470E0" w:rsidP="008470E0">
      <w:pPr>
        <w:pStyle w:val="ListParagraph"/>
        <w:numPr>
          <w:ilvl w:val="1"/>
          <w:numId w:val="6"/>
        </w:numPr>
        <w:ind w:left="873" w:hanging="567"/>
        <w:jc w:val="both"/>
        <w:rPr>
          <w:rFonts w:cs="Arial"/>
          <w:szCs w:val="24"/>
        </w:rPr>
      </w:pPr>
      <w:r w:rsidRPr="007B6882">
        <w:rPr>
          <w:rFonts w:cs="Arial"/>
          <w:b/>
          <w:bCs/>
          <w:szCs w:val="24"/>
        </w:rPr>
        <w:t>Finance &amp; Insurance</w:t>
      </w:r>
      <w:r>
        <w:rPr>
          <w:rFonts w:cs="Arial"/>
          <w:szCs w:val="24"/>
        </w:rPr>
        <w:t xml:space="preserve"> – net overspend £</w:t>
      </w:r>
      <w:r w:rsidR="00167B02">
        <w:rPr>
          <w:rFonts w:cs="Arial"/>
          <w:szCs w:val="24"/>
        </w:rPr>
        <w:t>88</w:t>
      </w:r>
      <w:r>
        <w:rPr>
          <w:rFonts w:cs="Arial"/>
          <w:szCs w:val="24"/>
        </w:rPr>
        <w:t xml:space="preserve">k. This is due to </w:t>
      </w:r>
      <w:r w:rsidR="00167B02">
        <w:rPr>
          <w:rFonts w:cs="Arial"/>
          <w:szCs w:val="24"/>
        </w:rPr>
        <w:t>a</w:t>
      </w:r>
      <w:r>
        <w:rPr>
          <w:rFonts w:cs="Arial"/>
          <w:szCs w:val="24"/>
        </w:rPr>
        <w:t xml:space="preserve"> loss of income as several schools have jointed the Government’s Risk Protection Arrangement insurance scheme.</w:t>
      </w:r>
    </w:p>
    <w:p w14:paraId="1279C552" w14:textId="77777777" w:rsidR="008470E0" w:rsidRDefault="008470E0" w:rsidP="008470E0">
      <w:pPr>
        <w:pStyle w:val="ListParagraph"/>
        <w:ind w:left="873"/>
        <w:jc w:val="both"/>
        <w:rPr>
          <w:rFonts w:cs="Arial"/>
          <w:szCs w:val="24"/>
        </w:rPr>
      </w:pPr>
    </w:p>
    <w:p w14:paraId="6493A557" w14:textId="77489E08" w:rsidR="008470E0" w:rsidRDefault="008470E0" w:rsidP="008470E0">
      <w:pPr>
        <w:pStyle w:val="ListParagraph"/>
        <w:numPr>
          <w:ilvl w:val="1"/>
          <w:numId w:val="6"/>
        </w:numPr>
        <w:ind w:left="873" w:hanging="567"/>
        <w:jc w:val="both"/>
        <w:rPr>
          <w:rFonts w:cs="Arial"/>
          <w:szCs w:val="24"/>
        </w:rPr>
      </w:pPr>
      <w:r w:rsidRPr="007B6882">
        <w:rPr>
          <w:rFonts w:cs="Arial"/>
          <w:b/>
          <w:bCs/>
          <w:szCs w:val="24"/>
        </w:rPr>
        <w:t>Revenues &amp; Benefits</w:t>
      </w:r>
      <w:r>
        <w:rPr>
          <w:rFonts w:cs="Arial"/>
          <w:szCs w:val="24"/>
        </w:rPr>
        <w:t xml:space="preserve"> – net overspend £3</w:t>
      </w:r>
      <w:r w:rsidR="00167B02">
        <w:rPr>
          <w:rFonts w:cs="Arial"/>
          <w:szCs w:val="24"/>
        </w:rPr>
        <w:t>14</w:t>
      </w:r>
      <w:r>
        <w:rPr>
          <w:rFonts w:cs="Arial"/>
          <w:szCs w:val="24"/>
        </w:rPr>
        <w:t>k. This is due to increased workloads due to Covid-19 and additional resource spend on post-pandemic recovery work to decrease backlogs which built up. In addition, there are extra pressures to a 40% increase in working age council tax support applications over the last 12 months.</w:t>
      </w:r>
    </w:p>
    <w:p w14:paraId="0F3AF08C" w14:textId="77777777" w:rsidR="008470E0" w:rsidRDefault="008470E0" w:rsidP="008470E0">
      <w:pPr>
        <w:pStyle w:val="ListParagraph"/>
        <w:ind w:left="873"/>
        <w:jc w:val="both"/>
        <w:rPr>
          <w:rFonts w:cs="Arial"/>
          <w:szCs w:val="24"/>
        </w:rPr>
      </w:pPr>
    </w:p>
    <w:p w14:paraId="632ADA96" w14:textId="4D523540" w:rsidR="008470E0" w:rsidRPr="0016645B" w:rsidRDefault="008470E0" w:rsidP="008470E0">
      <w:pPr>
        <w:pStyle w:val="ListParagraph"/>
        <w:numPr>
          <w:ilvl w:val="1"/>
          <w:numId w:val="6"/>
        </w:numPr>
        <w:ind w:left="873" w:hanging="567"/>
        <w:jc w:val="both"/>
        <w:rPr>
          <w:rFonts w:cs="Arial"/>
          <w:szCs w:val="24"/>
        </w:rPr>
      </w:pPr>
      <w:r w:rsidRPr="007B6882">
        <w:rPr>
          <w:rFonts w:cs="Arial"/>
          <w:b/>
          <w:bCs/>
          <w:szCs w:val="24"/>
        </w:rPr>
        <w:t>Legal &amp; Governance</w:t>
      </w:r>
      <w:r>
        <w:rPr>
          <w:rFonts w:cs="Arial"/>
          <w:szCs w:val="24"/>
        </w:rPr>
        <w:t xml:space="preserve"> – net underspend £</w:t>
      </w:r>
      <w:r w:rsidR="001836AC">
        <w:rPr>
          <w:rFonts w:cs="Arial"/>
          <w:szCs w:val="24"/>
        </w:rPr>
        <w:t>50</w:t>
      </w:r>
      <w:r>
        <w:rPr>
          <w:rFonts w:cs="Arial"/>
          <w:szCs w:val="24"/>
        </w:rPr>
        <w:t>k. This relates to Land Charges and Registration of Births, Deaths &amp; Marriages where the income is expected to exceed the budget.</w:t>
      </w:r>
    </w:p>
    <w:p w14:paraId="7E10A160" w14:textId="77777777" w:rsidR="008470E0" w:rsidRDefault="008470E0" w:rsidP="008470E0">
      <w:pPr>
        <w:pStyle w:val="ListParagraph"/>
        <w:ind w:left="567"/>
        <w:jc w:val="both"/>
        <w:rPr>
          <w:rFonts w:cs="Arial"/>
          <w:szCs w:val="24"/>
        </w:rPr>
      </w:pPr>
    </w:p>
    <w:bookmarkEnd w:id="1"/>
    <w:bookmarkEnd w:id="2"/>
    <w:bookmarkEnd w:id="3"/>
    <w:p w14:paraId="1E6F2459" w14:textId="77777777" w:rsidR="003774CC" w:rsidRDefault="003774CC" w:rsidP="008470E0">
      <w:pPr>
        <w:ind w:left="567"/>
        <w:rPr>
          <w:rFonts w:cs="Arial"/>
          <w:b/>
          <w:szCs w:val="24"/>
          <w:u w:val="single"/>
        </w:rPr>
      </w:pPr>
    </w:p>
    <w:p w14:paraId="67B11937" w14:textId="27C07C59" w:rsidR="008470E0" w:rsidRPr="008C35E5" w:rsidRDefault="008470E0" w:rsidP="008470E0">
      <w:pPr>
        <w:ind w:left="567"/>
        <w:rPr>
          <w:rFonts w:cs="Arial"/>
          <w:b/>
          <w:szCs w:val="24"/>
          <w:u w:val="single"/>
        </w:rPr>
      </w:pPr>
      <w:r w:rsidRPr="008C35E5">
        <w:rPr>
          <w:rFonts w:cs="Arial"/>
          <w:b/>
          <w:szCs w:val="24"/>
          <w:u w:val="single"/>
        </w:rPr>
        <w:t>COMMUNITY</w:t>
      </w:r>
    </w:p>
    <w:p w14:paraId="10213C55" w14:textId="77777777" w:rsidR="008470E0" w:rsidRPr="00AF347B" w:rsidRDefault="008470E0" w:rsidP="008470E0">
      <w:pPr>
        <w:pStyle w:val="ListParagraph"/>
        <w:ind w:left="567"/>
        <w:jc w:val="both"/>
        <w:rPr>
          <w:rFonts w:cs="Arial"/>
          <w:color w:val="FF0000"/>
          <w:szCs w:val="24"/>
        </w:rPr>
      </w:pPr>
    </w:p>
    <w:p w14:paraId="7FF289C0" w14:textId="77777777" w:rsidR="00696AED" w:rsidRDefault="008470E0" w:rsidP="00696AED">
      <w:pPr>
        <w:pStyle w:val="ListParagraph"/>
        <w:numPr>
          <w:ilvl w:val="0"/>
          <w:numId w:val="6"/>
        </w:numPr>
        <w:ind w:left="567" w:hanging="567"/>
        <w:jc w:val="both"/>
        <w:rPr>
          <w:rFonts w:cs="Arial"/>
          <w:bCs/>
        </w:rPr>
      </w:pPr>
      <w:r w:rsidRPr="00C8641F">
        <w:rPr>
          <w:rFonts w:cs="Arial"/>
          <w:bCs/>
        </w:rPr>
        <w:t>As at Q</w:t>
      </w:r>
      <w:r w:rsidR="004D6780">
        <w:rPr>
          <w:rFonts w:cs="Arial"/>
          <w:bCs/>
        </w:rPr>
        <w:t>2</w:t>
      </w:r>
      <w:r w:rsidRPr="00C8641F">
        <w:rPr>
          <w:rFonts w:cs="Arial"/>
          <w:bCs/>
        </w:rPr>
        <w:t xml:space="preserve"> the directorate is reporting a net overspend of £1.</w:t>
      </w:r>
      <w:r w:rsidR="004D6780">
        <w:rPr>
          <w:rFonts w:cs="Arial"/>
          <w:bCs/>
        </w:rPr>
        <w:t>475</w:t>
      </w:r>
      <w:r w:rsidRPr="00C8641F">
        <w:rPr>
          <w:rFonts w:cs="Arial"/>
          <w:bCs/>
        </w:rPr>
        <w:t xml:space="preserve">m after a draw down from reserves and cross divisional adjustments. </w:t>
      </w:r>
      <w:r>
        <w:rPr>
          <w:rFonts w:cs="Arial"/>
          <w:bCs/>
        </w:rPr>
        <w:t xml:space="preserve">It should be noted that whilst it’s assumed that Covid-19 related measures will cease in the financial year 2021/22 the expectation is that the legacy of these restrictions will continue to have an impact on the Council’s financial performance. </w:t>
      </w:r>
    </w:p>
    <w:p w14:paraId="67962B51" w14:textId="606B8BEA" w:rsidR="00696AED" w:rsidRDefault="00696AED" w:rsidP="00696AED">
      <w:pPr>
        <w:pStyle w:val="ListParagraph"/>
        <w:ind w:left="567"/>
        <w:jc w:val="both"/>
        <w:rPr>
          <w:rFonts w:cs="Arial"/>
          <w:bCs/>
        </w:rPr>
      </w:pPr>
    </w:p>
    <w:tbl>
      <w:tblPr>
        <w:tblStyle w:val="TableGrid"/>
        <w:tblW w:w="8789" w:type="dxa"/>
        <w:tblInd w:w="-5" w:type="dxa"/>
        <w:tblLook w:val="04A0" w:firstRow="1" w:lastRow="0" w:firstColumn="1" w:lastColumn="0" w:noHBand="0" w:noVBand="1"/>
      </w:tblPr>
      <w:tblGrid>
        <w:gridCol w:w="2410"/>
        <w:gridCol w:w="2268"/>
        <w:gridCol w:w="2268"/>
        <w:gridCol w:w="1843"/>
      </w:tblGrid>
      <w:tr w:rsidR="00696AED" w:rsidRPr="00696AED" w14:paraId="37041491" w14:textId="77777777" w:rsidTr="001A2B6C">
        <w:tc>
          <w:tcPr>
            <w:tcW w:w="2410" w:type="dxa"/>
          </w:tcPr>
          <w:p w14:paraId="4217F209" w14:textId="77777777" w:rsidR="00696AED" w:rsidRPr="00696AED" w:rsidRDefault="00696AED" w:rsidP="001A2B6C">
            <w:pPr>
              <w:pStyle w:val="ListParagraph"/>
              <w:ind w:left="0"/>
              <w:jc w:val="both"/>
              <w:rPr>
                <w:rFonts w:cs="Arial"/>
                <w:b/>
                <w:bCs/>
                <w:sz w:val="22"/>
                <w:szCs w:val="22"/>
              </w:rPr>
            </w:pPr>
            <w:r w:rsidRPr="00696AED">
              <w:rPr>
                <w:b/>
                <w:bCs/>
                <w:sz w:val="22"/>
                <w:szCs w:val="22"/>
              </w:rPr>
              <w:t>Period</w:t>
            </w:r>
          </w:p>
        </w:tc>
        <w:tc>
          <w:tcPr>
            <w:tcW w:w="2268" w:type="dxa"/>
          </w:tcPr>
          <w:p w14:paraId="2BAD2CFF" w14:textId="77777777" w:rsidR="00696AED" w:rsidRPr="00696AED" w:rsidRDefault="00696AED" w:rsidP="001A2B6C">
            <w:pPr>
              <w:pStyle w:val="ListParagraph"/>
              <w:ind w:left="0"/>
              <w:jc w:val="both"/>
              <w:rPr>
                <w:rFonts w:cs="Arial"/>
                <w:b/>
                <w:bCs/>
                <w:sz w:val="22"/>
                <w:szCs w:val="22"/>
              </w:rPr>
            </w:pPr>
            <w:r w:rsidRPr="00696AED">
              <w:rPr>
                <w:b/>
                <w:bCs/>
                <w:sz w:val="22"/>
                <w:szCs w:val="22"/>
              </w:rPr>
              <w:t>Budget £’000</w:t>
            </w:r>
          </w:p>
        </w:tc>
        <w:tc>
          <w:tcPr>
            <w:tcW w:w="2268" w:type="dxa"/>
          </w:tcPr>
          <w:p w14:paraId="2DA4086E" w14:textId="77777777" w:rsidR="00696AED" w:rsidRPr="00696AED" w:rsidRDefault="00696AED" w:rsidP="001A2B6C">
            <w:pPr>
              <w:pStyle w:val="ListParagraph"/>
              <w:ind w:left="0"/>
              <w:jc w:val="both"/>
              <w:rPr>
                <w:rFonts w:cs="Arial"/>
                <w:b/>
                <w:bCs/>
                <w:sz w:val="22"/>
                <w:szCs w:val="22"/>
              </w:rPr>
            </w:pPr>
            <w:r w:rsidRPr="00696AED">
              <w:rPr>
                <w:b/>
                <w:bCs/>
                <w:sz w:val="22"/>
                <w:szCs w:val="22"/>
              </w:rPr>
              <w:t>Forecast £’000</w:t>
            </w:r>
          </w:p>
        </w:tc>
        <w:tc>
          <w:tcPr>
            <w:tcW w:w="1843" w:type="dxa"/>
          </w:tcPr>
          <w:p w14:paraId="08E43CFB" w14:textId="77777777" w:rsidR="00696AED" w:rsidRPr="00696AED" w:rsidRDefault="00696AED" w:rsidP="001A2B6C">
            <w:pPr>
              <w:pStyle w:val="ListParagraph"/>
              <w:ind w:left="0"/>
              <w:jc w:val="both"/>
              <w:rPr>
                <w:rFonts w:cs="Arial"/>
                <w:b/>
                <w:bCs/>
                <w:sz w:val="22"/>
                <w:szCs w:val="22"/>
              </w:rPr>
            </w:pPr>
            <w:r w:rsidRPr="00696AED">
              <w:rPr>
                <w:b/>
                <w:bCs/>
                <w:sz w:val="22"/>
                <w:szCs w:val="22"/>
              </w:rPr>
              <w:t>Variance £’000</w:t>
            </w:r>
          </w:p>
        </w:tc>
      </w:tr>
      <w:tr w:rsidR="00696AED" w:rsidRPr="00696AED" w14:paraId="29F05F91" w14:textId="77777777" w:rsidTr="001A2B6C">
        <w:tc>
          <w:tcPr>
            <w:tcW w:w="2410" w:type="dxa"/>
          </w:tcPr>
          <w:p w14:paraId="3295DF09" w14:textId="77777777" w:rsidR="00696AED" w:rsidRPr="00696AED" w:rsidRDefault="00696AED" w:rsidP="00696AED">
            <w:pPr>
              <w:pStyle w:val="ListParagraph"/>
              <w:ind w:left="0"/>
              <w:jc w:val="both"/>
              <w:rPr>
                <w:rFonts w:cs="Arial"/>
                <w:sz w:val="22"/>
                <w:szCs w:val="22"/>
              </w:rPr>
            </w:pPr>
            <w:r w:rsidRPr="00696AED">
              <w:rPr>
                <w:sz w:val="22"/>
                <w:szCs w:val="22"/>
              </w:rPr>
              <w:t>Q1</w:t>
            </w:r>
          </w:p>
        </w:tc>
        <w:tc>
          <w:tcPr>
            <w:tcW w:w="2268" w:type="dxa"/>
          </w:tcPr>
          <w:p w14:paraId="3A9A2660" w14:textId="760F342F" w:rsidR="00696AED" w:rsidRPr="00696AED" w:rsidRDefault="00696AED" w:rsidP="00696AED">
            <w:pPr>
              <w:pStyle w:val="ListParagraph"/>
              <w:ind w:left="0"/>
              <w:jc w:val="right"/>
              <w:rPr>
                <w:rFonts w:cs="Arial"/>
                <w:sz w:val="22"/>
                <w:szCs w:val="22"/>
              </w:rPr>
            </w:pPr>
            <w:r w:rsidRPr="00696AED">
              <w:rPr>
                <w:sz w:val="22"/>
                <w:szCs w:val="22"/>
              </w:rPr>
              <w:t>£33,214</w:t>
            </w:r>
          </w:p>
        </w:tc>
        <w:tc>
          <w:tcPr>
            <w:tcW w:w="2268" w:type="dxa"/>
          </w:tcPr>
          <w:p w14:paraId="46BEFD01" w14:textId="1E9DD346" w:rsidR="00696AED" w:rsidRPr="00696AED" w:rsidRDefault="00696AED" w:rsidP="00696AED">
            <w:pPr>
              <w:pStyle w:val="ListParagraph"/>
              <w:ind w:left="0"/>
              <w:jc w:val="right"/>
              <w:rPr>
                <w:rFonts w:cs="Arial"/>
                <w:sz w:val="22"/>
                <w:szCs w:val="22"/>
              </w:rPr>
            </w:pPr>
            <w:r w:rsidRPr="00696AED">
              <w:rPr>
                <w:sz w:val="22"/>
                <w:szCs w:val="22"/>
              </w:rPr>
              <w:t>£34,373</w:t>
            </w:r>
          </w:p>
        </w:tc>
        <w:tc>
          <w:tcPr>
            <w:tcW w:w="1843" w:type="dxa"/>
          </w:tcPr>
          <w:p w14:paraId="27FCD7D2" w14:textId="628FACDF" w:rsidR="00696AED" w:rsidRPr="00696AED" w:rsidRDefault="00696AED" w:rsidP="00696AED">
            <w:pPr>
              <w:pStyle w:val="ListParagraph"/>
              <w:ind w:left="0"/>
              <w:jc w:val="right"/>
              <w:rPr>
                <w:rFonts w:cs="Arial"/>
                <w:sz w:val="22"/>
                <w:szCs w:val="22"/>
              </w:rPr>
            </w:pPr>
            <w:r w:rsidRPr="00696AED">
              <w:rPr>
                <w:sz w:val="22"/>
                <w:szCs w:val="22"/>
              </w:rPr>
              <w:t>£1,159</w:t>
            </w:r>
          </w:p>
        </w:tc>
      </w:tr>
      <w:tr w:rsidR="00696AED" w:rsidRPr="00696AED" w14:paraId="1E35EA7E" w14:textId="77777777" w:rsidTr="001A2B6C">
        <w:tc>
          <w:tcPr>
            <w:tcW w:w="2410" w:type="dxa"/>
          </w:tcPr>
          <w:p w14:paraId="058F1412" w14:textId="77777777" w:rsidR="00696AED" w:rsidRPr="00696AED" w:rsidRDefault="00696AED" w:rsidP="00696AED">
            <w:pPr>
              <w:pStyle w:val="ListParagraph"/>
              <w:ind w:left="0"/>
              <w:jc w:val="both"/>
              <w:rPr>
                <w:rFonts w:cs="Arial"/>
                <w:sz w:val="22"/>
                <w:szCs w:val="22"/>
              </w:rPr>
            </w:pPr>
            <w:r w:rsidRPr="00696AED">
              <w:rPr>
                <w:sz w:val="22"/>
                <w:szCs w:val="22"/>
              </w:rPr>
              <w:t>Q2</w:t>
            </w:r>
          </w:p>
        </w:tc>
        <w:tc>
          <w:tcPr>
            <w:tcW w:w="2268" w:type="dxa"/>
          </w:tcPr>
          <w:p w14:paraId="5D01BA93" w14:textId="21F81BB5" w:rsidR="00696AED" w:rsidRPr="00696AED" w:rsidRDefault="00696AED" w:rsidP="00696AED">
            <w:pPr>
              <w:pStyle w:val="ListParagraph"/>
              <w:ind w:left="0"/>
              <w:jc w:val="right"/>
              <w:rPr>
                <w:rFonts w:cs="Arial"/>
                <w:sz w:val="22"/>
                <w:szCs w:val="22"/>
              </w:rPr>
            </w:pPr>
            <w:r w:rsidRPr="00696AED">
              <w:rPr>
                <w:sz w:val="22"/>
                <w:szCs w:val="22"/>
              </w:rPr>
              <w:t>£33,147</w:t>
            </w:r>
          </w:p>
        </w:tc>
        <w:tc>
          <w:tcPr>
            <w:tcW w:w="2268" w:type="dxa"/>
          </w:tcPr>
          <w:p w14:paraId="265F708C" w14:textId="5EBB21AE" w:rsidR="00696AED" w:rsidRPr="00696AED" w:rsidRDefault="00696AED" w:rsidP="00696AED">
            <w:pPr>
              <w:pStyle w:val="ListParagraph"/>
              <w:ind w:left="0"/>
              <w:jc w:val="right"/>
              <w:rPr>
                <w:rFonts w:cs="Arial"/>
                <w:sz w:val="22"/>
                <w:szCs w:val="22"/>
              </w:rPr>
            </w:pPr>
            <w:r w:rsidRPr="00696AED">
              <w:rPr>
                <w:sz w:val="22"/>
                <w:szCs w:val="22"/>
              </w:rPr>
              <w:t>£34,622</w:t>
            </w:r>
          </w:p>
        </w:tc>
        <w:tc>
          <w:tcPr>
            <w:tcW w:w="1843" w:type="dxa"/>
          </w:tcPr>
          <w:p w14:paraId="366D67DA" w14:textId="6B4DF0FB" w:rsidR="00696AED" w:rsidRPr="00696AED" w:rsidRDefault="00696AED" w:rsidP="00696AED">
            <w:pPr>
              <w:pStyle w:val="ListParagraph"/>
              <w:ind w:left="0"/>
              <w:jc w:val="right"/>
              <w:rPr>
                <w:rFonts w:cs="Arial"/>
                <w:sz w:val="22"/>
                <w:szCs w:val="22"/>
              </w:rPr>
            </w:pPr>
            <w:r w:rsidRPr="00696AED">
              <w:rPr>
                <w:sz w:val="22"/>
                <w:szCs w:val="22"/>
              </w:rPr>
              <w:t>£1,475</w:t>
            </w:r>
          </w:p>
        </w:tc>
      </w:tr>
      <w:tr w:rsidR="00696AED" w:rsidRPr="00696AED" w14:paraId="73207242" w14:textId="77777777" w:rsidTr="001A2B6C">
        <w:tc>
          <w:tcPr>
            <w:tcW w:w="2410" w:type="dxa"/>
          </w:tcPr>
          <w:p w14:paraId="1571A484" w14:textId="77777777" w:rsidR="00696AED" w:rsidRPr="00696AED" w:rsidRDefault="00696AED" w:rsidP="00696AED">
            <w:pPr>
              <w:pStyle w:val="ListParagraph"/>
              <w:ind w:left="0"/>
              <w:jc w:val="both"/>
              <w:rPr>
                <w:rFonts w:cs="Arial"/>
                <w:b/>
                <w:bCs/>
                <w:sz w:val="22"/>
                <w:szCs w:val="22"/>
              </w:rPr>
            </w:pPr>
            <w:r w:rsidRPr="00696AED">
              <w:rPr>
                <w:b/>
                <w:bCs/>
                <w:sz w:val="22"/>
                <w:szCs w:val="22"/>
              </w:rPr>
              <w:t>Variance</w:t>
            </w:r>
          </w:p>
        </w:tc>
        <w:tc>
          <w:tcPr>
            <w:tcW w:w="2268" w:type="dxa"/>
          </w:tcPr>
          <w:p w14:paraId="43C10D08" w14:textId="580359BF" w:rsidR="00696AED" w:rsidRPr="00696AED" w:rsidRDefault="00696AED" w:rsidP="00696AED">
            <w:pPr>
              <w:pStyle w:val="ListParagraph"/>
              <w:ind w:left="0"/>
              <w:jc w:val="right"/>
              <w:rPr>
                <w:rFonts w:cs="Arial"/>
                <w:b/>
                <w:bCs/>
                <w:sz w:val="22"/>
                <w:szCs w:val="22"/>
              </w:rPr>
            </w:pPr>
            <w:r w:rsidRPr="00696AED">
              <w:rPr>
                <w:sz w:val="22"/>
                <w:szCs w:val="22"/>
              </w:rPr>
              <w:t>-£67</w:t>
            </w:r>
          </w:p>
        </w:tc>
        <w:tc>
          <w:tcPr>
            <w:tcW w:w="2268" w:type="dxa"/>
          </w:tcPr>
          <w:p w14:paraId="601DC4C5" w14:textId="1BEDF32F" w:rsidR="00696AED" w:rsidRPr="00696AED" w:rsidRDefault="00696AED" w:rsidP="00696AED">
            <w:pPr>
              <w:pStyle w:val="ListParagraph"/>
              <w:ind w:left="0"/>
              <w:jc w:val="right"/>
              <w:rPr>
                <w:rFonts w:cs="Arial"/>
                <w:b/>
                <w:bCs/>
                <w:sz w:val="22"/>
                <w:szCs w:val="22"/>
              </w:rPr>
            </w:pPr>
            <w:r w:rsidRPr="00696AED">
              <w:rPr>
                <w:sz w:val="22"/>
                <w:szCs w:val="22"/>
              </w:rPr>
              <w:t>£249</w:t>
            </w:r>
          </w:p>
        </w:tc>
        <w:tc>
          <w:tcPr>
            <w:tcW w:w="1843" w:type="dxa"/>
          </w:tcPr>
          <w:p w14:paraId="7112A3BD" w14:textId="48DC0B74" w:rsidR="00696AED" w:rsidRPr="00696AED" w:rsidRDefault="00696AED" w:rsidP="00696AED">
            <w:pPr>
              <w:pStyle w:val="ListParagraph"/>
              <w:ind w:left="0"/>
              <w:jc w:val="right"/>
              <w:rPr>
                <w:rFonts w:cs="Arial"/>
                <w:b/>
                <w:bCs/>
                <w:sz w:val="22"/>
                <w:szCs w:val="22"/>
              </w:rPr>
            </w:pPr>
            <w:r w:rsidRPr="00696AED">
              <w:rPr>
                <w:sz w:val="22"/>
                <w:szCs w:val="22"/>
              </w:rPr>
              <w:t>£316</w:t>
            </w:r>
          </w:p>
        </w:tc>
      </w:tr>
    </w:tbl>
    <w:p w14:paraId="18E374A4" w14:textId="68FE68E1" w:rsidR="00696AED" w:rsidRDefault="00696AED" w:rsidP="00696AED">
      <w:pPr>
        <w:pStyle w:val="ListParagraph"/>
        <w:ind w:left="567"/>
        <w:jc w:val="both"/>
        <w:rPr>
          <w:rFonts w:cs="Arial"/>
          <w:bCs/>
        </w:rPr>
      </w:pPr>
    </w:p>
    <w:p w14:paraId="030A6D83" w14:textId="77777777" w:rsidR="00696AED" w:rsidRPr="00696AED" w:rsidRDefault="00696AED" w:rsidP="00696AED">
      <w:pPr>
        <w:pStyle w:val="ListParagraph"/>
        <w:ind w:left="567"/>
        <w:jc w:val="both"/>
        <w:rPr>
          <w:rFonts w:cs="Arial"/>
          <w:bCs/>
        </w:rPr>
      </w:pPr>
    </w:p>
    <w:p w14:paraId="1522A625" w14:textId="77777777" w:rsidR="00696AED" w:rsidRDefault="00696AED" w:rsidP="00696AED">
      <w:pPr>
        <w:pStyle w:val="ListParagraph"/>
        <w:numPr>
          <w:ilvl w:val="0"/>
          <w:numId w:val="6"/>
        </w:numPr>
        <w:ind w:left="567" w:hanging="567"/>
        <w:jc w:val="both"/>
        <w:rPr>
          <w:rFonts w:cs="Arial"/>
          <w:bCs/>
        </w:rPr>
      </w:pPr>
      <w:r w:rsidRPr="00696AED">
        <w:rPr>
          <w:rFonts w:cs="Arial"/>
          <w:bCs/>
        </w:rPr>
        <w:lastRenderedPageBreak/>
        <w:t xml:space="preserve">The </w:t>
      </w:r>
      <w:r>
        <w:rPr>
          <w:rFonts w:cs="Arial"/>
          <w:bCs/>
        </w:rPr>
        <w:t>v</w:t>
      </w:r>
      <w:r w:rsidRPr="00696AED">
        <w:rPr>
          <w:rFonts w:cs="Arial"/>
          <w:bCs/>
        </w:rPr>
        <w:t xml:space="preserve">ariance has increased </w:t>
      </w:r>
      <w:r>
        <w:rPr>
          <w:rFonts w:cs="Arial"/>
          <w:bCs/>
        </w:rPr>
        <w:t>by £316k from Q1</w:t>
      </w:r>
      <w:r w:rsidRPr="00696AED">
        <w:rPr>
          <w:rFonts w:cs="Arial"/>
          <w:bCs/>
        </w:rPr>
        <w:t>, due mainly to the following reasons:</w:t>
      </w:r>
    </w:p>
    <w:p w14:paraId="2E33F49F" w14:textId="77777777" w:rsidR="00696AED" w:rsidRDefault="00696AED" w:rsidP="00696AED">
      <w:pPr>
        <w:pStyle w:val="ListParagraph"/>
        <w:ind w:left="567"/>
        <w:jc w:val="both"/>
        <w:rPr>
          <w:rFonts w:cs="Arial"/>
          <w:bCs/>
        </w:rPr>
      </w:pPr>
    </w:p>
    <w:p w14:paraId="4AADCE9D" w14:textId="77777777" w:rsidR="005816C3" w:rsidRPr="005816C3" w:rsidRDefault="00696AED" w:rsidP="00350DF8">
      <w:pPr>
        <w:pStyle w:val="ListParagraph"/>
        <w:numPr>
          <w:ilvl w:val="1"/>
          <w:numId w:val="6"/>
        </w:numPr>
        <w:ind w:left="1701" w:hanging="567"/>
        <w:jc w:val="both"/>
        <w:rPr>
          <w:rFonts w:cs="Arial"/>
          <w:bCs/>
        </w:rPr>
      </w:pPr>
      <w:r w:rsidRPr="00696AED">
        <w:rPr>
          <w:rFonts w:cs="Arial"/>
          <w:bCs/>
          <w:szCs w:val="24"/>
        </w:rPr>
        <w:t>Facilities Management – forecast pressure of £200k assumed against the budget for reactive repair works across the Council’s corporate sites</w:t>
      </w:r>
    </w:p>
    <w:p w14:paraId="1FDBC601" w14:textId="77777777" w:rsidR="005816C3" w:rsidRPr="005816C3" w:rsidRDefault="00696AED" w:rsidP="00350DF8">
      <w:pPr>
        <w:pStyle w:val="ListParagraph"/>
        <w:numPr>
          <w:ilvl w:val="1"/>
          <w:numId w:val="6"/>
        </w:numPr>
        <w:ind w:left="1701" w:hanging="567"/>
        <w:jc w:val="both"/>
        <w:rPr>
          <w:rFonts w:cs="Arial"/>
          <w:bCs/>
        </w:rPr>
      </w:pPr>
      <w:r w:rsidRPr="005816C3">
        <w:rPr>
          <w:rFonts w:cs="Arial"/>
          <w:bCs/>
          <w:szCs w:val="24"/>
        </w:rPr>
        <w:t>Facilities Management - Increase in forecast security cost at the depot of £64k</w:t>
      </w:r>
    </w:p>
    <w:p w14:paraId="2EDA35B0" w14:textId="77777777" w:rsidR="005816C3" w:rsidRPr="005816C3" w:rsidRDefault="00696AED" w:rsidP="00350DF8">
      <w:pPr>
        <w:pStyle w:val="ListParagraph"/>
        <w:numPr>
          <w:ilvl w:val="1"/>
          <w:numId w:val="6"/>
        </w:numPr>
        <w:ind w:left="1701" w:hanging="567"/>
        <w:jc w:val="both"/>
        <w:rPr>
          <w:rFonts w:cs="Arial"/>
          <w:bCs/>
        </w:rPr>
      </w:pPr>
      <w:r w:rsidRPr="005816C3">
        <w:rPr>
          <w:rFonts w:cs="Arial"/>
          <w:bCs/>
          <w:szCs w:val="24"/>
        </w:rPr>
        <w:t>Planning – legal costs of £70k are expected to be incurred following the commission of a public inquiry on a planning application at Canons Park station</w:t>
      </w:r>
    </w:p>
    <w:p w14:paraId="0B3DD16E" w14:textId="77777777" w:rsidR="00350DF8" w:rsidRPr="00350DF8" w:rsidRDefault="00696AED" w:rsidP="00350DF8">
      <w:pPr>
        <w:pStyle w:val="ListParagraph"/>
        <w:numPr>
          <w:ilvl w:val="1"/>
          <w:numId w:val="6"/>
        </w:numPr>
        <w:ind w:left="1701" w:hanging="567"/>
        <w:jc w:val="both"/>
        <w:rPr>
          <w:rFonts w:cs="Arial"/>
          <w:bCs/>
        </w:rPr>
      </w:pPr>
      <w:r w:rsidRPr="005816C3">
        <w:rPr>
          <w:rFonts w:cs="Arial"/>
          <w:bCs/>
          <w:szCs w:val="24"/>
        </w:rPr>
        <w:t xml:space="preserve">Housing (GF) - £176k increase in the forecast cost of using of B&amp;B accommodation. </w:t>
      </w:r>
      <w:r w:rsidRPr="005816C3">
        <w:rPr>
          <w:rFonts w:cs="Arial"/>
          <w:szCs w:val="24"/>
        </w:rPr>
        <w:t>As part of the pandemic response for the last 15 months, the Council has continued to accommodate households who were homeless even though full assessment of their circumstances resulted in the Council not having a housing duty. As we now move into recovery mode, a decision has been made following a review of these cases to work with them to move them on over the next 3 months.</w:t>
      </w:r>
    </w:p>
    <w:p w14:paraId="5E77FF9C" w14:textId="77777777" w:rsidR="00350DF8" w:rsidRPr="00350DF8" w:rsidRDefault="00350DF8" w:rsidP="00350DF8">
      <w:pPr>
        <w:pStyle w:val="ListParagraph"/>
        <w:ind w:left="360"/>
        <w:jc w:val="both"/>
        <w:rPr>
          <w:rFonts w:cs="Arial"/>
          <w:bCs/>
        </w:rPr>
      </w:pPr>
    </w:p>
    <w:p w14:paraId="6BE5140C" w14:textId="11F4268F" w:rsidR="00696AED" w:rsidRPr="00350DF8" w:rsidRDefault="00350DF8" w:rsidP="00350DF8">
      <w:pPr>
        <w:pStyle w:val="ListParagraph"/>
        <w:ind w:left="360"/>
        <w:jc w:val="both"/>
        <w:rPr>
          <w:rFonts w:cs="Arial"/>
          <w:bCs/>
        </w:rPr>
      </w:pPr>
      <w:r w:rsidRPr="00350DF8">
        <w:rPr>
          <w:rFonts w:cs="Arial"/>
          <w:bCs/>
          <w:szCs w:val="24"/>
        </w:rPr>
        <w:t xml:space="preserve"> </w:t>
      </w:r>
      <w:r w:rsidR="005816C3" w:rsidRPr="00350DF8">
        <w:rPr>
          <w:rFonts w:cs="Arial"/>
          <w:bCs/>
          <w:szCs w:val="24"/>
        </w:rPr>
        <w:t>This is partially offset by the following reductions:</w:t>
      </w:r>
    </w:p>
    <w:p w14:paraId="788C11B6" w14:textId="61B66B13" w:rsidR="005816C3" w:rsidRDefault="005816C3" w:rsidP="00696AED">
      <w:pPr>
        <w:ind w:left="360"/>
        <w:rPr>
          <w:rFonts w:cs="Arial"/>
          <w:bCs/>
          <w:szCs w:val="24"/>
        </w:rPr>
      </w:pPr>
    </w:p>
    <w:p w14:paraId="208E71EF" w14:textId="7ECF7967" w:rsidR="005816C3" w:rsidRPr="005816C3" w:rsidRDefault="005816C3" w:rsidP="00350DF8">
      <w:pPr>
        <w:pStyle w:val="ListParagraph"/>
        <w:numPr>
          <w:ilvl w:val="1"/>
          <w:numId w:val="6"/>
        </w:numPr>
        <w:ind w:left="1701" w:hanging="567"/>
        <w:jc w:val="both"/>
        <w:rPr>
          <w:rFonts w:cs="Arial"/>
          <w:bCs/>
        </w:rPr>
      </w:pPr>
      <w:r w:rsidRPr="005816C3">
        <w:rPr>
          <w:rFonts w:cs="Arial"/>
          <w:bCs/>
          <w:szCs w:val="24"/>
        </w:rPr>
        <w:t>Regeneration – £32k reduction in forecast spend on providing additional support. This includes expenditure on consultancy advice.</w:t>
      </w:r>
    </w:p>
    <w:p w14:paraId="394EA790" w14:textId="11059E24" w:rsidR="005816C3" w:rsidRPr="005816C3" w:rsidRDefault="005816C3" w:rsidP="00350DF8">
      <w:pPr>
        <w:pStyle w:val="ListParagraph"/>
        <w:numPr>
          <w:ilvl w:val="1"/>
          <w:numId w:val="6"/>
        </w:numPr>
        <w:ind w:left="1701" w:hanging="567"/>
        <w:jc w:val="both"/>
        <w:rPr>
          <w:rFonts w:cs="Arial"/>
          <w:bCs/>
        </w:rPr>
      </w:pPr>
      <w:r>
        <w:rPr>
          <w:rFonts w:cs="Arial"/>
          <w:bCs/>
          <w:szCs w:val="24"/>
        </w:rPr>
        <w:t>Harrow Arts Centre/Harrow Museum – £147k reduction in income loss forecast due to t</w:t>
      </w:r>
      <w:r w:rsidR="00696AED" w:rsidRPr="005816C3">
        <w:rPr>
          <w:rFonts w:cs="Arial"/>
          <w:bCs/>
          <w:szCs w:val="24"/>
        </w:rPr>
        <w:t xml:space="preserve">he award of the Cultural Recovery Fund Round 2 </w:t>
      </w:r>
    </w:p>
    <w:p w14:paraId="6040C5F6" w14:textId="12D7D6F9" w:rsidR="00696AED" w:rsidRPr="005816C3" w:rsidRDefault="00696AED" w:rsidP="00350DF8">
      <w:pPr>
        <w:pStyle w:val="ListParagraph"/>
        <w:numPr>
          <w:ilvl w:val="1"/>
          <w:numId w:val="6"/>
        </w:numPr>
        <w:ind w:left="1701" w:hanging="567"/>
        <w:jc w:val="both"/>
        <w:rPr>
          <w:rFonts w:cs="Arial"/>
          <w:bCs/>
        </w:rPr>
      </w:pPr>
      <w:r w:rsidRPr="005816C3">
        <w:rPr>
          <w:rFonts w:cs="Arial"/>
          <w:bCs/>
          <w:szCs w:val="24"/>
        </w:rPr>
        <w:t>Licensing &amp; Enforcement – the easing of restrictions has allowed for a greater number of applications to be processed and the forecast income shortfall has been revised accordingly.</w:t>
      </w:r>
    </w:p>
    <w:p w14:paraId="2FF76880" w14:textId="77777777" w:rsidR="00696AED" w:rsidRPr="00696AED" w:rsidRDefault="00696AED" w:rsidP="00696AED">
      <w:pPr>
        <w:jc w:val="both"/>
        <w:rPr>
          <w:rFonts w:cs="Arial"/>
          <w:b/>
          <w:bCs/>
          <w:szCs w:val="24"/>
          <w:u w:val="single"/>
        </w:rPr>
      </w:pPr>
    </w:p>
    <w:p w14:paraId="05A205AE" w14:textId="42055DEC" w:rsidR="008470E0" w:rsidRPr="00C8641F" w:rsidRDefault="008470E0" w:rsidP="008470E0">
      <w:pPr>
        <w:pStyle w:val="ListParagraph"/>
        <w:numPr>
          <w:ilvl w:val="0"/>
          <w:numId w:val="6"/>
        </w:numPr>
        <w:ind w:left="567" w:hanging="567"/>
        <w:jc w:val="both"/>
        <w:rPr>
          <w:rFonts w:cs="Arial"/>
          <w:bCs/>
        </w:rPr>
      </w:pPr>
      <w:r>
        <w:rPr>
          <w:rFonts w:cs="Arial"/>
          <w:b/>
          <w:szCs w:val="24"/>
        </w:rPr>
        <w:t>Environmental</w:t>
      </w:r>
      <w:r w:rsidRPr="00F678AF">
        <w:rPr>
          <w:rFonts w:cs="Arial"/>
          <w:b/>
          <w:szCs w:val="24"/>
        </w:rPr>
        <w:t xml:space="preserve"> Services </w:t>
      </w:r>
      <w:r>
        <w:rPr>
          <w:rFonts w:cs="Arial"/>
          <w:b/>
          <w:szCs w:val="24"/>
        </w:rPr>
        <w:t>– net overspend £1.</w:t>
      </w:r>
      <w:r w:rsidR="005816C3">
        <w:rPr>
          <w:rFonts w:cs="Arial"/>
          <w:b/>
          <w:szCs w:val="24"/>
        </w:rPr>
        <w:t>648</w:t>
      </w:r>
      <w:r>
        <w:rPr>
          <w:rFonts w:cs="Arial"/>
          <w:b/>
          <w:szCs w:val="24"/>
        </w:rPr>
        <w:t>m</w:t>
      </w:r>
    </w:p>
    <w:p w14:paraId="33C08987" w14:textId="77777777" w:rsidR="008470E0" w:rsidRPr="00C8641F" w:rsidRDefault="008470E0" w:rsidP="008470E0">
      <w:pPr>
        <w:pStyle w:val="ListParagraph"/>
        <w:rPr>
          <w:rFonts w:cs="Arial"/>
          <w:bCs/>
        </w:rPr>
      </w:pPr>
    </w:p>
    <w:p w14:paraId="7C68C50C" w14:textId="77777777" w:rsidR="008470E0" w:rsidRDefault="008470E0" w:rsidP="008470E0">
      <w:pPr>
        <w:pStyle w:val="ListParagraph"/>
        <w:numPr>
          <w:ilvl w:val="0"/>
          <w:numId w:val="6"/>
        </w:numPr>
        <w:ind w:left="567" w:hanging="567"/>
        <w:jc w:val="both"/>
        <w:rPr>
          <w:rFonts w:cs="Arial"/>
          <w:bCs/>
        </w:rPr>
      </w:pPr>
      <w:r>
        <w:rPr>
          <w:rFonts w:cs="Arial"/>
          <w:bCs/>
        </w:rPr>
        <w:t>Estates &amp; Facilities Management</w:t>
      </w:r>
    </w:p>
    <w:p w14:paraId="5A5C68BA" w14:textId="77777777" w:rsidR="008470E0" w:rsidRPr="00C8641F" w:rsidRDefault="008470E0" w:rsidP="008470E0">
      <w:pPr>
        <w:pStyle w:val="ListParagraph"/>
        <w:rPr>
          <w:rFonts w:cs="Arial"/>
          <w:bCs/>
        </w:rPr>
      </w:pPr>
    </w:p>
    <w:p w14:paraId="262A7BB7" w14:textId="458F673E" w:rsidR="008470E0" w:rsidRDefault="008470E0" w:rsidP="008470E0">
      <w:pPr>
        <w:pStyle w:val="ListParagraph"/>
        <w:numPr>
          <w:ilvl w:val="1"/>
          <w:numId w:val="6"/>
        </w:numPr>
        <w:ind w:left="1701" w:hanging="567"/>
        <w:jc w:val="both"/>
        <w:rPr>
          <w:rFonts w:cs="Arial"/>
          <w:bCs/>
        </w:rPr>
      </w:pPr>
      <w:r w:rsidRPr="00EA0FE5">
        <w:rPr>
          <w:rFonts w:cs="Arial"/>
          <w:b/>
        </w:rPr>
        <w:t>Facilities Management</w:t>
      </w:r>
      <w:r>
        <w:rPr>
          <w:rFonts w:cs="Arial"/>
          <w:bCs/>
        </w:rPr>
        <w:t xml:space="preserve"> – net overspend £1.</w:t>
      </w:r>
      <w:r w:rsidR="005816C3">
        <w:rPr>
          <w:rFonts w:cs="Arial"/>
          <w:bCs/>
        </w:rPr>
        <w:t>402</w:t>
      </w:r>
      <w:r>
        <w:rPr>
          <w:rFonts w:cs="Arial"/>
          <w:bCs/>
        </w:rPr>
        <w:t xml:space="preserve">m. </w:t>
      </w:r>
      <w:r w:rsidR="005816C3">
        <w:rPr>
          <w:rFonts w:cs="Arial"/>
          <w:bCs/>
        </w:rPr>
        <w:t xml:space="preserve">This is due to a forecast overspend on the Depot operational costs. The budget for reactive repair works for the Council’s corporate sites is estimated to overspend by £200k. Interim staffing arrangements across the service area is projected to increase staffing costs, resulting in a net overspend of £79k. In </w:t>
      </w:r>
      <w:proofErr w:type="gramStart"/>
      <w:r w:rsidR="005816C3">
        <w:rPr>
          <w:rFonts w:cs="Arial"/>
          <w:bCs/>
        </w:rPr>
        <w:t>addition</w:t>
      </w:r>
      <w:proofErr w:type="gramEnd"/>
      <w:r w:rsidR="005816C3">
        <w:rPr>
          <w:rFonts w:cs="Arial"/>
          <w:bCs/>
        </w:rPr>
        <w:t xml:space="preserve"> there is Covid related expenditure of £801k including works resulting from fire risk assessments as the Civic Centre, enhanced cleaning, fogging and security.</w:t>
      </w:r>
    </w:p>
    <w:p w14:paraId="46D8F4A5" w14:textId="77777777" w:rsidR="008470E0" w:rsidRDefault="008470E0" w:rsidP="008470E0">
      <w:pPr>
        <w:pStyle w:val="ListParagraph"/>
        <w:ind w:left="1701"/>
        <w:jc w:val="both"/>
        <w:rPr>
          <w:rFonts w:cs="Arial"/>
          <w:bCs/>
        </w:rPr>
      </w:pPr>
    </w:p>
    <w:p w14:paraId="0C2E3DA1" w14:textId="6C4C0B1D" w:rsidR="008470E0" w:rsidRDefault="008470E0" w:rsidP="008470E0">
      <w:pPr>
        <w:pStyle w:val="ListParagraph"/>
        <w:numPr>
          <w:ilvl w:val="1"/>
          <w:numId w:val="6"/>
        </w:numPr>
        <w:ind w:left="1701" w:hanging="567"/>
        <w:jc w:val="both"/>
        <w:rPr>
          <w:rFonts w:cs="Arial"/>
          <w:bCs/>
        </w:rPr>
      </w:pPr>
      <w:r w:rsidRPr="00EA0FE5">
        <w:rPr>
          <w:rFonts w:cs="Arial"/>
          <w:b/>
        </w:rPr>
        <w:t>Corporate Estates</w:t>
      </w:r>
      <w:r>
        <w:rPr>
          <w:rFonts w:cs="Arial"/>
          <w:bCs/>
        </w:rPr>
        <w:t xml:space="preserve"> – net underspend £</w:t>
      </w:r>
      <w:r w:rsidR="005816C3">
        <w:rPr>
          <w:rFonts w:cs="Arial"/>
          <w:bCs/>
        </w:rPr>
        <w:t>208</w:t>
      </w:r>
      <w:r>
        <w:rPr>
          <w:rFonts w:cs="Arial"/>
          <w:bCs/>
        </w:rPr>
        <w:t>k. This is due to over recovery of rental income across the Council’s corporate property portfolio</w:t>
      </w:r>
    </w:p>
    <w:p w14:paraId="6400A357" w14:textId="77777777" w:rsidR="005816C3" w:rsidRPr="005816C3" w:rsidRDefault="005816C3" w:rsidP="005816C3">
      <w:pPr>
        <w:pStyle w:val="ListParagraph"/>
        <w:rPr>
          <w:rFonts w:cs="Arial"/>
          <w:bCs/>
        </w:rPr>
      </w:pPr>
    </w:p>
    <w:p w14:paraId="3C53556A" w14:textId="481E0C0E" w:rsidR="005816C3" w:rsidRDefault="005816C3" w:rsidP="008470E0">
      <w:pPr>
        <w:pStyle w:val="ListParagraph"/>
        <w:numPr>
          <w:ilvl w:val="1"/>
          <w:numId w:val="6"/>
        </w:numPr>
        <w:ind w:left="1701" w:hanging="567"/>
        <w:jc w:val="both"/>
        <w:rPr>
          <w:rFonts w:cs="Arial"/>
          <w:bCs/>
        </w:rPr>
      </w:pPr>
      <w:r w:rsidRPr="005816C3">
        <w:rPr>
          <w:rFonts w:cs="Arial"/>
          <w:b/>
        </w:rPr>
        <w:lastRenderedPageBreak/>
        <w:t>Head of Facilities and Estates</w:t>
      </w:r>
      <w:r>
        <w:rPr>
          <w:rFonts w:cs="Arial"/>
          <w:bCs/>
        </w:rPr>
        <w:t xml:space="preserve"> – net overspend £22k due to staffing costs as a result of interim staffing arrangements.</w:t>
      </w:r>
    </w:p>
    <w:p w14:paraId="6CCF2B4E" w14:textId="77777777" w:rsidR="002A5286" w:rsidRPr="002A5286" w:rsidRDefault="002A5286" w:rsidP="002A5286">
      <w:pPr>
        <w:pStyle w:val="ListParagraph"/>
        <w:rPr>
          <w:rFonts w:cs="Arial"/>
          <w:bCs/>
        </w:rPr>
      </w:pPr>
    </w:p>
    <w:p w14:paraId="43C161BB" w14:textId="36AB070B" w:rsidR="002A5286" w:rsidRDefault="002A5286" w:rsidP="008470E0">
      <w:pPr>
        <w:pStyle w:val="ListParagraph"/>
        <w:numPr>
          <w:ilvl w:val="1"/>
          <w:numId w:val="6"/>
        </w:numPr>
        <w:ind w:left="1701" w:hanging="567"/>
        <w:jc w:val="both"/>
        <w:rPr>
          <w:rFonts w:cs="Arial"/>
          <w:bCs/>
        </w:rPr>
      </w:pPr>
      <w:r w:rsidRPr="002A5286">
        <w:rPr>
          <w:rFonts w:cs="Arial"/>
          <w:b/>
        </w:rPr>
        <w:t xml:space="preserve">Catering </w:t>
      </w:r>
      <w:r>
        <w:rPr>
          <w:rFonts w:cs="Arial"/>
          <w:bCs/>
        </w:rPr>
        <w:t>– net overspend £6k in relation to the Harrow Meals on Wheels service following the cessation of service provision to LBHF in August 2021</w:t>
      </w:r>
    </w:p>
    <w:p w14:paraId="7B9CB501" w14:textId="77777777" w:rsidR="002A5286" w:rsidRPr="002A5286" w:rsidRDefault="002A5286" w:rsidP="002A5286">
      <w:pPr>
        <w:pStyle w:val="ListParagraph"/>
        <w:rPr>
          <w:rFonts w:cs="Arial"/>
          <w:bCs/>
        </w:rPr>
      </w:pPr>
    </w:p>
    <w:p w14:paraId="5A39EF43" w14:textId="10204321" w:rsidR="002A5286" w:rsidRPr="00517CFC" w:rsidRDefault="002A5286" w:rsidP="008470E0">
      <w:pPr>
        <w:pStyle w:val="ListParagraph"/>
        <w:numPr>
          <w:ilvl w:val="1"/>
          <w:numId w:val="6"/>
        </w:numPr>
        <w:ind w:left="1701" w:hanging="567"/>
        <w:jc w:val="both"/>
        <w:rPr>
          <w:rFonts w:cs="Arial"/>
          <w:bCs/>
        </w:rPr>
      </w:pPr>
      <w:r w:rsidRPr="002A5286">
        <w:rPr>
          <w:rFonts w:cs="Arial"/>
          <w:b/>
        </w:rPr>
        <w:t>Waste Management</w:t>
      </w:r>
      <w:r>
        <w:rPr>
          <w:rFonts w:cs="Arial"/>
          <w:bCs/>
        </w:rPr>
        <w:t xml:space="preserve"> – net reduction £400k in the monthly gate fee, driven by current market conditions for dry recyclables, has resulted in a forecast underspend on waste disposal costs.</w:t>
      </w:r>
    </w:p>
    <w:p w14:paraId="2014A6E6" w14:textId="77777777" w:rsidR="002A5286" w:rsidRDefault="002A5286" w:rsidP="008470E0">
      <w:pPr>
        <w:rPr>
          <w:rFonts w:cs="Arial"/>
          <w:b/>
          <w:szCs w:val="24"/>
          <w:u w:val="single"/>
        </w:rPr>
      </w:pPr>
    </w:p>
    <w:p w14:paraId="24F94461" w14:textId="77777777" w:rsidR="008470E0" w:rsidRDefault="008470E0" w:rsidP="008470E0">
      <w:pPr>
        <w:pStyle w:val="ListParagraph"/>
        <w:numPr>
          <w:ilvl w:val="0"/>
          <w:numId w:val="6"/>
        </w:numPr>
        <w:ind w:left="567" w:hanging="567"/>
        <w:jc w:val="both"/>
        <w:rPr>
          <w:rFonts w:cs="Arial"/>
          <w:bCs/>
        </w:rPr>
      </w:pPr>
      <w:r>
        <w:rPr>
          <w:rFonts w:cs="Arial"/>
          <w:bCs/>
        </w:rPr>
        <w:t>Parking and Network Management</w:t>
      </w:r>
    </w:p>
    <w:p w14:paraId="09C10253" w14:textId="77777777" w:rsidR="008470E0" w:rsidRDefault="008470E0" w:rsidP="008470E0">
      <w:pPr>
        <w:pStyle w:val="ListParagraph"/>
        <w:ind w:left="1701"/>
        <w:jc w:val="both"/>
        <w:rPr>
          <w:rFonts w:cs="Arial"/>
          <w:bCs/>
        </w:rPr>
      </w:pPr>
    </w:p>
    <w:p w14:paraId="4C82EFC3" w14:textId="77777777" w:rsidR="008470E0" w:rsidRPr="00517CFC" w:rsidRDefault="008470E0" w:rsidP="008470E0">
      <w:pPr>
        <w:pStyle w:val="ListParagraph"/>
        <w:numPr>
          <w:ilvl w:val="1"/>
          <w:numId w:val="6"/>
        </w:numPr>
        <w:ind w:left="1701" w:hanging="567"/>
        <w:jc w:val="both"/>
        <w:rPr>
          <w:rFonts w:cs="Arial"/>
          <w:bCs/>
        </w:rPr>
      </w:pPr>
      <w:r w:rsidRPr="00EA0FE5">
        <w:rPr>
          <w:rFonts w:cs="Arial"/>
          <w:b/>
        </w:rPr>
        <w:t>Parking Services</w:t>
      </w:r>
      <w:r>
        <w:rPr>
          <w:rFonts w:cs="Arial"/>
          <w:bCs/>
        </w:rPr>
        <w:t xml:space="preserve"> – income is expected to be lower than pre-Covid-19 levels however this is largely offset by budget growth in the MTFS to reflect the losses of income. Therefore, this area is forecasting a balanced budget.</w:t>
      </w:r>
    </w:p>
    <w:p w14:paraId="5634DBDD" w14:textId="77777777" w:rsidR="008470E0" w:rsidRPr="00B04563" w:rsidRDefault="008470E0" w:rsidP="008470E0">
      <w:pPr>
        <w:pStyle w:val="ListParagraph"/>
        <w:rPr>
          <w:rFonts w:asciiTheme="minorHAnsi" w:hAnsiTheme="minorHAnsi" w:cstheme="minorHAnsi"/>
          <w:bCs/>
          <w:sz w:val="22"/>
          <w:szCs w:val="22"/>
        </w:rPr>
      </w:pPr>
    </w:p>
    <w:p w14:paraId="44E386D3" w14:textId="77777777" w:rsidR="008470E0" w:rsidRDefault="008470E0" w:rsidP="008470E0">
      <w:pPr>
        <w:pStyle w:val="ListParagraph"/>
        <w:numPr>
          <w:ilvl w:val="0"/>
          <w:numId w:val="6"/>
        </w:numPr>
        <w:ind w:left="567" w:hanging="567"/>
        <w:jc w:val="both"/>
        <w:rPr>
          <w:rFonts w:cs="Arial"/>
          <w:bCs/>
        </w:rPr>
      </w:pPr>
      <w:r>
        <w:rPr>
          <w:rFonts w:cs="Arial"/>
          <w:bCs/>
        </w:rPr>
        <w:t>Divisional Director</w:t>
      </w:r>
    </w:p>
    <w:p w14:paraId="67B828D0" w14:textId="77777777" w:rsidR="008470E0" w:rsidRPr="00EA0FE5" w:rsidRDefault="008470E0" w:rsidP="008470E0">
      <w:pPr>
        <w:pStyle w:val="ListParagraph"/>
        <w:ind w:left="1701"/>
        <w:jc w:val="both"/>
        <w:rPr>
          <w:rFonts w:cs="Arial"/>
          <w:bCs/>
        </w:rPr>
      </w:pPr>
    </w:p>
    <w:p w14:paraId="1F029D70" w14:textId="746A6790" w:rsidR="008470E0" w:rsidRDefault="008470E0" w:rsidP="008470E0">
      <w:pPr>
        <w:pStyle w:val="ListParagraph"/>
        <w:numPr>
          <w:ilvl w:val="1"/>
          <w:numId w:val="6"/>
        </w:numPr>
        <w:ind w:left="1701" w:hanging="567"/>
        <w:jc w:val="both"/>
        <w:rPr>
          <w:rFonts w:cs="Arial"/>
          <w:bCs/>
        </w:rPr>
      </w:pPr>
      <w:r w:rsidRPr="00EA0FE5">
        <w:rPr>
          <w:rFonts w:cs="Arial"/>
          <w:b/>
        </w:rPr>
        <w:t>Staffing</w:t>
      </w:r>
      <w:r>
        <w:rPr>
          <w:rFonts w:cs="Arial"/>
          <w:bCs/>
        </w:rPr>
        <w:t xml:space="preserve"> – net underspend £</w:t>
      </w:r>
      <w:r w:rsidR="002A5286">
        <w:rPr>
          <w:rFonts w:cs="Arial"/>
          <w:bCs/>
        </w:rPr>
        <w:t>93</w:t>
      </w:r>
      <w:r>
        <w:rPr>
          <w:rFonts w:cs="Arial"/>
          <w:bCs/>
        </w:rPr>
        <w:t>k. This is due to 2 vacant divisional director posts which at present are being covered by an interim member of staff</w:t>
      </w:r>
    </w:p>
    <w:p w14:paraId="425E9E6A" w14:textId="77777777" w:rsidR="008470E0" w:rsidRPr="00517CFC" w:rsidRDefault="008470E0" w:rsidP="008470E0">
      <w:pPr>
        <w:jc w:val="both"/>
        <w:rPr>
          <w:rFonts w:asciiTheme="minorHAnsi" w:hAnsiTheme="minorHAnsi" w:cstheme="minorHAnsi"/>
          <w:bCs/>
          <w:sz w:val="22"/>
          <w:szCs w:val="18"/>
        </w:rPr>
      </w:pPr>
    </w:p>
    <w:p w14:paraId="42F02259" w14:textId="77777777" w:rsidR="008470E0" w:rsidRDefault="008470E0" w:rsidP="008470E0">
      <w:pPr>
        <w:pStyle w:val="ListParagraph"/>
        <w:numPr>
          <w:ilvl w:val="0"/>
          <w:numId w:val="6"/>
        </w:numPr>
        <w:ind w:left="567" w:hanging="567"/>
        <w:jc w:val="both"/>
        <w:rPr>
          <w:rFonts w:cs="Arial"/>
          <w:bCs/>
        </w:rPr>
      </w:pPr>
      <w:r>
        <w:rPr>
          <w:rFonts w:cs="Arial"/>
          <w:bCs/>
        </w:rPr>
        <w:t>Licensing &amp; Enforcement</w:t>
      </w:r>
    </w:p>
    <w:p w14:paraId="11628202" w14:textId="77777777" w:rsidR="008470E0" w:rsidRPr="00EA0FE5" w:rsidRDefault="008470E0" w:rsidP="008470E0">
      <w:pPr>
        <w:pStyle w:val="ListParagraph"/>
        <w:ind w:left="1701"/>
        <w:jc w:val="both"/>
        <w:rPr>
          <w:rFonts w:cs="Arial"/>
          <w:bCs/>
        </w:rPr>
      </w:pPr>
    </w:p>
    <w:p w14:paraId="0B2239C2" w14:textId="6C656C5B" w:rsidR="008470E0" w:rsidRDefault="008470E0" w:rsidP="008470E0">
      <w:pPr>
        <w:pStyle w:val="ListParagraph"/>
        <w:numPr>
          <w:ilvl w:val="1"/>
          <w:numId w:val="6"/>
        </w:numPr>
        <w:ind w:left="1701" w:hanging="567"/>
        <w:jc w:val="both"/>
        <w:rPr>
          <w:rFonts w:cs="Arial"/>
          <w:bCs/>
        </w:rPr>
      </w:pPr>
      <w:r w:rsidRPr="00EA0FE5">
        <w:rPr>
          <w:rFonts w:cs="Arial"/>
          <w:b/>
        </w:rPr>
        <w:t>Covid-19 Marshalls</w:t>
      </w:r>
      <w:r>
        <w:rPr>
          <w:rFonts w:cs="Arial"/>
          <w:bCs/>
        </w:rPr>
        <w:t xml:space="preserve"> – net overspend £</w:t>
      </w:r>
      <w:r w:rsidR="002A5286">
        <w:rPr>
          <w:rFonts w:cs="Arial"/>
          <w:bCs/>
        </w:rPr>
        <w:t>480</w:t>
      </w:r>
      <w:r>
        <w:rPr>
          <w:rFonts w:cs="Arial"/>
          <w:bCs/>
        </w:rPr>
        <w:t>k.</w:t>
      </w:r>
      <w:r w:rsidR="002A5286">
        <w:rPr>
          <w:rFonts w:cs="Arial"/>
          <w:bCs/>
        </w:rPr>
        <w:t xml:space="preserve"> In addition, £52k pressure relates to advertising and legal costs attributed to a manslaughter case.</w:t>
      </w:r>
      <w:r>
        <w:rPr>
          <w:rFonts w:cs="Arial"/>
          <w:bCs/>
        </w:rPr>
        <w:t xml:space="preserve"> </w:t>
      </w:r>
    </w:p>
    <w:p w14:paraId="3B0E6F57" w14:textId="77777777" w:rsidR="008470E0" w:rsidRDefault="008470E0" w:rsidP="008470E0">
      <w:pPr>
        <w:pStyle w:val="ListParagraph"/>
        <w:jc w:val="both"/>
        <w:rPr>
          <w:rFonts w:asciiTheme="minorHAnsi" w:hAnsiTheme="minorHAnsi" w:cstheme="minorHAnsi"/>
          <w:bCs/>
          <w:sz w:val="22"/>
          <w:szCs w:val="18"/>
        </w:rPr>
      </w:pPr>
    </w:p>
    <w:p w14:paraId="33D2285C" w14:textId="77777777" w:rsidR="008470E0" w:rsidRDefault="008470E0" w:rsidP="008470E0">
      <w:pPr>
        <w:pStyle w:val="ListParagraph"/>
        <w:numPr>
          <w:ilvl w:val="0"/>
          <w:numId w:val="6"/>
        </w:numPr>
        <w:ind w:left="567" w:hanging="567"/>
        <w:jc w:val="both"/>
        <w:rPr>
          <w:rFonts w:cs="Arial"/>
          <w:bCs/>
        </w:rPr>
      </w:pPr>
      <w:r>
        <w:rPr>
          <w:rFonts w:cs="Arial"/>
          <w:bCs/>
        </w:rPr>
        <w:t>Strategy, Development &amp; Performance</w:t>
      </w:r>
    </w:p>
    <w:p w14:paraId="20631D67" w14:textId="77777777" w:rsidR="008470E0" w:rsidRDefault="008470E0" w:rsidP="008470E0">
      <w:pPr>
        <w:pStyle w:val="ListParagraph"/>
        <w:ind w:left="1701"/>
        <w:jc w:val="both"/>
        <w:rPr>
          <w:rFonts w:cs="Arial"/>
          <w:bCs/>
        </w:rPr>
      </w:pPr>
    </w:p>
    <w:p w14:paraId="156BB2F1" w14:textId="5B0915E5" w:rsidR="008470E0" w:rsidRDefault="008470E0" w:rsidP="008470E0">
      <w:pPr>
        <w:pStyle w:val="ListParagraph"/>
        <w:numPr>
          <w:ilvl w:val="1"/>
          <w:numId w:val="6"/>
        </w:numPr>
        <w:ind w:left="1701" w:hanging="567"/>
        <w:jc w:val="both"/>
        <w:rPr>
          <w:rFonts w:cs="Arial"/>
          <w:bCs/>
        </w:rPr>
      </w:pPr>
      <w:r w:rsidRPr="00EA0FE5">
        <w:rPr>
          <w:rFonts w:cs="Arial"/>
          <w:b/>
        </w:rPr>
        <w:t>Community Engagement</w:t>
      </w:r>
      <w:r>
        <w:rPr>
          <w:rFonts w:cs="Arial"/>
          <w:bCs/>
        </w:rPr>
        <w:t xml:space="preserve"> – net underspend £1</w:t>
      </w:r>
      <w:r w:rsidR="002A5286">
        <w:rPr>
          <w:rFonts w:cs="Arial"/>
          <w:bCs/>
        </w:rPr>
        <w:t>21</w:t>
      </w:r>
      <w:r>
        <w:rPr>
          <w:rFonts w:cs="Arial"/>
          <w:bCs/>
        </w:rPr>
        <w:t>k. This is due to vacant posts across the Community Engagement and School Crossing Patrol teams.</w:t>
      </w:r>
    </w:p>
    <w:p w14:paraId="5FBC75B4" w14:textId="77777777" w:rsidR="008470E0" w:rsidRDefault="008470E0" w:rsidP="008470E0">
      <w:pPr>
        <w:pStyle w:val="ListParagraph"/>
        <w:ind w:left="1701"/>
        <w:jc w:val="both"/>
        <w:rPr>
          <w:rFonts w:cs="Arial"/>
          <w:bCs/>
        </w:rPr>
      </w:pPr>
    </w:p>
    <w:p w14:paraId="5BFC7665" w14:textId="1116F458" w:rsidR="008470E0" w:rsidRDefault="008470E0" w:rsidP="008470E0">
      <w:pPr>
        <w:pStyle w:val="ListParagraph"/>
        <w:numPr>
          <w:ilvl w:val="1"/>
          <w:numId w:val="6"/>
        </w:numPr>
        <w:ind w:left="1701" w:hanging="567"/>
        <w:jc w:val="both"/>
        <w:rPr>
          <w:rFonts w:cs="Arial"/>
          <w:bCs/>
        </w:rPr>
      </w:pPr>
      <w:r w:rsidRPr="00EA0FE5">
        <w:rPr>
          <w:rFonts w:cs="Arial"/>
          <w:b/>
        </w:rPr>
        <w:t>Contracts Management</w:t>
      </w:r>
      <w:r>
        <w:rPr>
          <w:rFonts w:cs="Arial"/>
          <w:bCs/>
        </w:rPr>
        <w:t xml:space="preserve"> – net overspend £</w:t>
      </w:r>
      <w:r w:rsidR="002A5286">
        <w:rPr>
          <w:rFonts w:cs="Arial"/>
          <w:bCs/>
        </w:rPr>
        <w:t>23</w:t>
      </w:r>
      <w:r>
        <w:rPr>
          <w:rFonts w:cs="Arial"/>
          <w:bCs/>
        </w:rPr>
        <w:t>k. This is as a result of a forecast overspend on the Public Mortuary SLA which is partially offset by a small underspend on service overheads.</w:t>
      </w:r>
    </w:p>
    <w:p w14:paraId="3535A884" w14:textId="77777777" w:rsidR="002A5286" w:rsidRPr="002A5286" w:rsidRDefault="002A5286" w:rsidP="002A5286">
      <w:pPr>
        <w:pStyle w:val="ListParagraph"/>
        <w:rPr>
          <w:rFonts w:cs="Arial"/>
          <w:bCs/>
        </w:rPr>
      </w:pPr>
    </w:p>
    <w:p w14:paraId="38A88CFD" w14:textId="141796E2" w:rsidR="002A5286" w:rsidRDefault="002A5286" w:rsidP="008470E0">
      <w:pPr>
        <w:pStyle w:val="ListParagraph"/>
        <w:numPr>
          <w:ilvl w:val="1"/>
          <w:numId w:val="6"/>
        </w:numPr>
        <w:ind w:left="1701" w:hanging="567"/>
        <w:jc w:val="both"/>
        <w:rPr>
          <w:rFonts w:cs="Arial"/>
          <w:bCs/>
        </w:rPr>
      </w:pPr>
      <w:r w:rsidRPr="002A5286">
        <w:rPr>
          <w:rFonts w:cs="Arial"/>
          <w:b/>
        </w:rPr>
        <w:t>Business Performance</w:t>
      </w:r>
      <w:r>
        <w:rPr>
          <w:rFonts w:cs="Arial"/>
          <w:bCs/>
        </w:rPr>
        <w:t xml:space="preserve"> – net underspend £19k. This is due to a vacant post</w:t>
      </w:r>
    </w:p>
    <w:p w14:paraId="7F56F221" w14:textId="77777777" w:rsidR="008470E0" w:rsidRPr="00B04563" w:rsidRDefault="008470E0" w:rsidP="008470E0">
      <w:pPr>
        <w:pStyle w:val="ListParagraph"/>
        <w:jc w:val="both"/>
        <w:rPr>
          <w:rFonts w:asciiTheme="minorHAnsi" w:hAnsiTheme="minorHAnsi" w:cstheme="minorHAnsi"/>
          <w:bCs/>
          <w:sz w:val="22"/>
          <w:szCs w:val="18"/>
        </w:rPr>
      </w:pPr>
    </w:p>
    <w:p w14:paraId="4593DC57" w14:textId="77777777" w:rsidR="008470E0" w:rsidRDefault="008470E0" w:rsidP="008470E0">
      <w:pPr>
        <w:pStyle w:val="ListParagraph"/>
        <w:numPr>
          <w:ilvl w:val="0"/>
          <w:numId w:val="6"/>
        </w:numPr>
        <w:ind w:left="567" w:hanging="567"/>
        <w:jc w:val="both"/>
        <w:rPr>
          <w:rFonts w:cs="Arial"/>
          <w:bCs/>
        </w:rPr>
      </w:pPr>
      <w:r>
        <w:rPr>
          <w:rFonts w:cs="Arial"/>
          <w:bCs/>
        </w:rPr>
        <w:t>Transport and Environmental Operations</w:t>
      </w:r>
    </w:p>
    <w:p w14:paraId="5478D54A" w14:textId="77777777" w:rsidR="008470E0" w:rsidRDefault="008470E0" w:rsidP="008470E0">
      <w:pPr>
        <w:pStyle w:val="ListParagraph"/>
        <w:ind w:left="2160"/>
        <w:jc w:val="both"/>
        <w:rPr>
          <w:rFonts w:cs="Arial"/>
          <w:bCs/>
        </w:rPr>
      </w:pPr>
    </w:p>
    <w:p w14:paraId="3A9B5000" w14:textId="4F9E5FA9" w:rsidR="008470E0" w:rsidRDefault="008470E0" w:rsidP="008470E0">
      <w:pPr>
        <w:pStyle w:val="ListParagraph"/>
        <w:numPr>
          <w:ilvl w:val="1"/>
          <w:numId w:val="6"/>
        </w:numPr>
        <w:ind w:left="1701" w:hanging="567"/>
        <w:jc w:val="both"/>
        <w:rPr>
          <w:rFonts w:cs="Arial"/>
          <w:bCs/>
        </w:rPr>
      </w:pPr>
      <w:r w:rsidRPr="00EA0FE5">
        <w:rPr>
          <w:rFonts w:cs="Arial"/>
          <w:b/>
        </w:rPr>
        <w:t xml:space="preserve">Transport </w:t>
      </w:r>
      <w:r>
        <w:rPr>
          <w:rFonts w:cs="Arial"/>
          <w:bCs/>
        </w:rPr>
        <w:t>– net overspend £</w:t>
      </w:r>
      <w:r w:rsidR="002A5286">
        <w:rPr>
          <w:rFonts w:cs="Arial"/>
          <w:bCs/>
        </w:rPr>
        <w:t>21</w:t>
      </w:r>
      <w:r>
        <w:rPr>
          <w:rFonts w:cs="Arial"/>
          <w:bCs/>
        </w:rPr>
        <w:t>k. This is due to staffing costs in the Fleet Management team</w:t>
      </w:r>
    </w:p>
    <w:p w14:paraId="7358DADA" w14:textId="77777777" w:rsidR="008470E0" w:rsidRPr="00EA0FE5" w:rsidRDefault="008470E0" w:rsidP="008470E0">
      <w:pPr>
        <w:pStyle w:val="ListParagraph"/>
        <w:ind w:left="1701" w:hanging="567"/>
        <w:jc w:val="both"/>
        <w:rPr>
          <w:rFonts w:cs="Arial"/>
          <w:bCs/>
        </w:rPr>
      </w:pPr>
    </w:p>
    <w:p w14:paraId="32D0C8A5" w14:textId="02B074CF" w:rsidR="008470E0" w:rsidRDefault="002A5286" w:rsidP="008470E0">
      <w:pPr>
        <w:pStyle w:val="ListParagraph"/>
        <w:numPr>
          <w:ilvl w:val="1"/>
          <w:numId w:val="6"/>
        </w:numPr>
        <w:ind w:left="1701" w:hanging="567"/>
        <w:jc w:val="both"/>
        <w:rPr>
          <w:rFonts w:cs="Arial"/>
          <w:bCs/>
        </w:rPr>
      </w:pPr>
      <w:r>
        <w:rPr>
          <w:rFonts w:cs="Arial"/>
          <w:b/>
        </w:rPr>
        <w:t>Head of Transport and Environmental Ops</w:t>
      </w:r>
      <w:r w:rsidR="008470E0">
        <w:rPr>
          <w:rFonts w:cs="Arial"/>
          <w:bCs/>
        </w:rPr>
        <w:t xml:space="preserve"> – net overspend £</w:t>
      </w:r>
      <w:r>
        <w:rPr>
          <w:rFonts w:cs="Arial"/>
          <w:bCs/>
        </w:rPr>
        <w:t>66</w:t>
      </w:r>
      <w:r w:rsidR="008470E0">
        <w:rPr>
          <w:rFonts w:cs="Arial"/>
          <w:bCs/>
        </w:rPr>
        <w:t xml:space="preserve">k. </w:t>
      </w:r>
      <w:r>
        <w:rPr>
          <w:rFonts w:cs="Arial"/>
          <w:bCs/>
        </w:rPr>
        <w:t>This is due to interim staffing arrangements.</w:t>
      </w:r>
    </w:p>
    <w:p w14:paraId="0EAE27B4" w14:textId="77777777" w:rsidR="008470E0" w:rsidRDefault="008470E0" w:rsidP="008470E0">
      <w:pPr>
        <w:pStyle w:val="ListParagraph"/>
        <w:jc w:val="both"/>
        <w:rPr>
          <w:rFonts w:asciiTheme="minorHAnsi" w:hAnsiTheme="minorHAnsi" w:cstheme="minorHAnsi"/>
          <w:bCs/>
          <w:sz w:val="22"/>
          <w:szCs w:val="18"/>
          <w:u w:val="single"/>
        </w:rPr>
      </w:pPr>
    </w:p>
    <w:p w14:paraId="4A35DBFD" w14:textId="13854DD6" w:rsidR="008470E0" w:rsidRPr="002144CC" w:rsidRDefault="008470E0" w:rsidP="008470E0">
      <w:pPr>
        <w:pStyle w:val="ListParagraph"/>
        <w:numPr>
          <w:ilvl w:val="0"/>
          <w:numId w:val="6"/>
        </w:numPr>
        <w:ind w:left="567" w:hanging="567"/>
        <w:jc w:val="both"/>
        <w:rPr>
          <w:rFonts w:cs="Arial"/>
          <w:bCs/>
        </w:rPr>
      </w:pPr>
      <w:r>
        <w:rPr>
          <w:rFonts w:cs="Arial"/>
          <w:b/>
          <w:szCs w:val="24"/>
        </w:rPr>
        <w:t xml:space="preserve">Directorate Management – net </w:t>
      </w:r>
      <w:r w:rsidR="002A5286">
        <w:rPr>
          <w:rFonts w:cs="Arial"/>
          <w:b/>
          <w:szCs w:val="24"/>
        </w:rPr>
        <w:t>underspend £14k</w:t>
      </w:r>
    </w:p>
    <w:p w14:paraId="0F454A36" w14:textId="77777777" w:rsidR="008470E0" w:rsidRDefault="008470E0" w:rsidP="008470E0">
      <w:pPr>
        <w:pStyle w:val="ListParagraph"/>
        <w:ind w:left="567"/>
        <w:jc w:val="both"/>
        <w:rPr>
          <w:rFonts w:cs="Arial"/>
          <w:bCs/>
        </w:rPr>
      </w:pPr>
    </w:p>
    <w:p w14:paraId="703CB02A" w14:textId="42121307" w:rsidR="008470E0" w:rsidRPr="00F678AF" w:rsidRDefault="008470E0" w:rsidP="008470E0">
      <w:pPr>
        <w:pStyle w:val="ListParagraph"/>
        <w:numPr>
          <w:ilvl w:val="0"/>
          <w:numId w:val="6"/>
        </w:numPr>
        <w:ind w:left="567" w:hanging="567"/>
        <w:jc w:val="both"/>
        <w:rPr>
          <w:rFonts w:cs="Arial"/>
          <w:bCs/>
        </w:rPr>
      </w:pPr>
      <w:r>
        <w:rPr>
          <w:rFonts w:cs="Arial"/>
          <w:bCs/>
        </w:rPr>
        <w:t>Covid-19 is expected to continue to result in losses of income in 2021/22. As part of the MTFS process budget growth of £5m was added to the Community directorate budget to recognise anticipated losses of income. This £5m growth is held within Directorate Management. As at Q</w:t>
      </w:r>
      <w:r w:rsidR="002A5286">
        <w:rPr>
          <w:rFonts w:cs="Arial"/>
          <w:bCs/>
        </w:rPr>
        <w:t>2</w:t>
      </w:r>
      <w:r>
        <w:rPr>
          <w:rFonts w:cs="Arial"/>
          <w:bCs/>
        </w:rPr>
        <w:t xml:space="preserve"> it is anticipated that the losses of income due to Covid-19 will be £</w:t>
      </w:r>
      <w:r w:rsidR="002A5286">
        <w:rPr>
          <w:rFonts w:cs="Arial"/>
          <w:bCs/>
        </w:rPr>
        <w:t>4.986</w:t>
      </w:r>
      <w:r>
        <w:rPr>
          <w:rFonts w:cs="Arial"/>
          <w:bCs/>
        </w:rPr>
        <w:t xml:space="preserve">m resulting in a net </w:t>
      </w:r>
      <w:r w:rsidR="002A5286">
        <w:rPr>
          <w:rFonts w:cs="Arial"/>
          <w:bCs/>
        </w:rPr>
        <w:t>underspend of £14k.</w:t>
      </w:r>
    </w:p>
    <w:p w14:paraId="633F1E16" w14:textId="77777777" w:rsidR="008470E0" w:rsidRPr="00F678AF" w:rsidRDefault="008470E0" w:rsidP="008470E0">
      <w:pPr>
        <w:pStyle w:val="ListParagraph"/>
        <w:ind w:left="567"/>
        <w:jc w:val="both"/>
        <w:rPr>
          <w:rFonts w:cs="Arial"/>
          <w:bCs/>
        </w:rPr>
      </w:pPr>
    </w:p>
    <w:p w14:paraId="650DF410" w14:textId="197BC59A" w:rsidR="002A5286" w:rsidRPr="002A5286" w:rsidRDefault="002A5286" w:rsidP="008470E0">
      <w:pPr>
        <w:pStyle w:val="ListParagraph"/>
        <w:numPr>
          <w:ilvl w:val="0"/>
          <w:numId w:val="6"/>
        </w:numPr>
        <w:ind w:left="567" w:hanging="567"/>
        <w:jc w:val="both"/>
        <w:rPr>
          <w:rFonts w:cs="Arial"/>
          <w:b/>
        </w:rPr>
      </w:pPr>
      <w:r w:rsidRPr="002A5286">
        <w:rPr>
          <w:rFonts w:cs="Arial"/>
          <w:b/>
        </w:rPr>
        <w:t>Enterprise and Planning – net overspend £70k</w:t>
      </w:r>
    </w:p>
    <w:p w14:paraId="233C84CE" w14:textId="77777777" w:rsidR="002A5286" w:rsidRPr="002A5286" w:rsidRDefault="002A5286" w:rsidP="002A5286">
      <w:pPr>
        <w:pStyle w:val="ListParagraph"/>
        <w:rPr>
          <w:rFonts w:cs="Arial"/>
          <w:bCs/>
        </w:rPr>
      </w:pPr>
    </w:p>
    <w:p w14:paraId="3C585187" w14:textId="51640C25" w:rsidR="002A5286" w:rsidRPr="002A5286" w:rsidRDefault="002A5286" w:rsidP="002A5286">
      <w:pPr>
        <w:pStyle w:val="ListParagraph"/>
        <w:numPr>
          <w:ilvl w:val="1"/>
          <w:numId w:val="6"/>
        </w:numPr>
        <w:ind w:left="1701" w:hanging="567"/>
        <w:jc w:val="both"/>
        <w:rPr>
          <w:rFonts w:cs="Arial"/>
          <w:bCs/>
        </w:rPr>
      </w:pPr>
      <w:r>
        <w:rPr>
          <w:rFonts w:cs="Arial"/>
          <w:bCs/>
        </w:rPr>
        <w:t>In the Planning service a public inquiry on the planning application decision of Canons Park Station is estimated to result in £70k of counsel and consultant costs. There is a risk that this may increase if the Council is liable for appellant’s costs.</w:t>
      </w:r>
    </w:p>
    <w:p w14:paraId="63590392" w14:textId="57C54F8C" w:rsidR="002A5286" w:rsidRDefault="002A5286" w:rsidP="002A5286">
      <w:pPr>
        <w:pStyle w:val="ListParagraph"/>
        <w:rPr>
          <w:rFonts w:cs="Arial"/>
          <w:b/>
          <w:szCs w:val="24"/>
        </w:rPr>
      </w:pPr>
    </w:p>
    <w:p w14:paraId="07722250" w14:textId="7D3C64DC" w:rsidR="008470E0" w:rsidRPr="002144CC" w:rsidRDefault="008470E0" w:rsidP="008470E0">
      <w:pPr>
        <w:pStyle w:val="ListParagraph"/>
        <w:numPr>
          <w:ilvl w:val="0"/>
          <w:numId w:val="6"/>
        </w:numPr>
        <w:ind w:left="567" w:hanging="567"/>
        <w:jc w:val="both"/>
        <w:rPr>
          <w:rFonts w:cs="Arial"/>
          <w:bCs/>
        </w:rPr>
      </w:pPr>
      <w:r>
        <w:rPr>
          <w:rFonts w:cs="Arial"/>
          <w:b/>
          <w:szCs w:val="24"/>
        </w:rPr>
        <w:t>Cultural Services – net underspend £2</w:t>
      </w:r>
      <w:r w:rsidR="002A5286">
        <w:rPr>
          <w:rFonts w:cs="Arial"/>
          <w:b/>
          <w:szCs w:val="24"/>
        </w:rPr>
        <w:t>29</w:t>
      </w:r>
      <w:r>
        <w:rPr>
          <w:rFonts w:cs="Arial"/>
          <w:b/>
          <w:szCs w:val="24"/>
        </w:rPr>
        <w:t>k</w:t>
      </w:r>
    </w:p>
    <w:p w14:paraId="409B1541" w14:textId="77777777" w:rsidR="008470E0" w:rsidRDefault="008470E0" w:rsidP="008470E0">
      <w:pPr>
        <w:pStyle w:val="ListParagraph"/>
        <w:ind w:left="2160"/>
        <w:jc w:val="both"/>
        <w:rPr>
          <w:rFonts w:cs="Arial"/>
          <w:bCs/>
        </w:rPr>
      </w:pPr>
    </w:p>
    <w:p w14:paraId="188B2F50" w14:textId="2A42C471" w:rsidR="008470E0" w:rsidRDefault="008470E0" w:rsidP="008470E0">
      <w:pPr>
        <w:pStyle w:val="ListParagraph"/>
        <w:numPr>
          <w:ilvl w:val="1"/>
          <w:numId w:val="6"/>
        </w:numPr>
        <w:ind w:left="1701" w:hanging="567"/>
        <w:jc w:val="both"/>
        <w:rPr>
          <w:rFonts w:cs="Arial"/>
          <w:bCs/>
        </w:rPr>
      </w:pPr>
      <w:r w:rsidRPr="00EA0FE5">
        <w:rPr>
          <w:rFonts w:cs="Arial"/>
          <w:b/>
        </w:rPr>
        <w:t>Harrow Museum</w:t>
      </w:r>
      <w:r>
        <w:rPr>
          <w:rFonts w:cs="Arial"/>
          <w:bCs/>
        </w:rPr>
        <w:t xml:space="preserve"> – net underspend £2</w:t>
      </w:r>
      <w:r w:rsidR="002A5286">
        <w:rPr>
          <w:rFonts w:cs="Arial"/>
          <w:bCs/>
        </w:rPr>
        <w:t>63</w:t>
      </w:r>
      <w:r>
        <w:rPr>
          <w:rFonts w:cs="Arial"/>
          <w:bCs/>
        </w:rPr>
        <w:t xml:space="preserve">k. A one-off payment of £325k </w:t>
      </w:r>
      <w:r w:rsidR="002A5286">
        <w:rPr>
          <w:rFonts w:cs="Arial"/>
          <w:bCs/>
        </w:rPr>
        <w:t xml:space="preserve">has been received </w:t>
      </w:r>
      <w:r>
        <w:rPr>
          <w:rFonts w:cs="Arial"/>
          <w:bCs/>
        </w:rPr>
        <w:t>from the National Heritage Lottery fund. This relates to the final 10% of the grant award for the Headstone Manor refurbishment project as the grant condition only allows that this funding is released after the final monitoring and evaluation report has been submitted and approved. This is partially offset by a pressure of £</w:t>
      </w:r>
      <w:r w:rsidR="00342ECE">
        <w:rPr>
          <w:rFonts w:cs="Arial"/>
          <w:bCs/>
        </w:rPr>
        <w:t>46</w:t>
      </w:r>
      <w:r>
        <w:rPr>
          <w:rFonts w:cs="Arial"/>
          <w:bCs/>
        </w:rPr>
        <w:t>k due to sunk costs in relation to proposals for a new funding application for Headstone Manor. In addition, there is a further £1</w:t>
      </w:r>
      <w:r w:rsidR="00342ECE">
        <w:rPr>
          <w:rFonts w:cs="Arial"/>
          <w:bCs/>
        </w:rPr>
        <w:t>6</w:t>
      </w:r>
      <w:r>
        <w:rPr>
          <w:rFonts w:cs="Arial"/>
          <w:bCs/>
        </w:rPr>
        <w:t>k of additional Covid-19 costs.</w:t>
      </w:r>
    </w:p>
    <w:p w14:paraId="2EA2DB97" w14:textId="77777777" w:rsidR="008470E0" w:rsidRDefault="008470E0" w:rsidP="008470E0">
      <w:pPr>
        <w:pStyle w:val="ListParagraph"/>
        <w:ind w:left="1701" w:hanging="567"/>
        <w:jc w:val="both"/>
        <w:rPr>
          <w:rFonts w:cs="Arial"/>
          <w:bCs/>
        </w:rPr>
      </w:pPr>
    </w:p>
    <w:p w14:paraId="38CF0D4B" w14:textId="77777777" w:rsidR="008470E0" w:rsidRDefault="008470E0" w:rsidP="008470E0">
      <w:pPr>
        <w:pStyle w:val="ListParagraph"/>
        <w:numPr>
          <w:ilvl w:val="1"/>
          <w:numId w:val="6"/>
        </w:numPr>
        <w:ind w:left="1701" w:hanging="567"/>
        <w:jc w:val="both"/>
        <w:rPr>
          <w:rFonts w:cs="Arial"/>
          <w:bCs/>
        </w:rPr>
      </w:pPr>
      <w:r w:rsidRPr="00EA0FE5">
        <w:rPr>
          <w:rFonts w:cs="Arial"/>
          <w:b/>
        </w:rPr>
        <w:t>Harrow Arts Centre</w:t>
      </w:r>
      <w:r>
        <w:rPr>
          <w:rFonts w:cs="Arial"/>
          <w:bCs/>
        </w:rPr>
        <w:t xml:space="preserve"> – net overspend £39k. This is due to additional enhanced cleaning costs related to Covid-19.</w:t>
      </w:r>
    </w:p>
    <w:p w14:paraId="7A3DBD20" w14:textId="77777777" w:rsidR="008470E0" w:rsidRDefault="008470E0" w:rsidP="008470E0">
      <w:pPr>
        <w:pStyle w:val="ListParagraph"/>
        <w:ind w:left="1701" w:hanging="567"/>
        <w:jc w:val="both"/>
        <w:rPr>
          <w:rFonts w:cs="Arial"/>
          <w:bCs/>
        </w:rPr>
      </w:pPr>
    </w:p>
    <w:p w14:paraId="2D8D6E63" w14:textId="77777777" w:rsidR="008470E0" w:rsidRPr="00F678AF" w:rsidRDefault="008470E0" w:rsidP="008470E0">
      <w:pPr>
        <w:pStyle w:val="ListParagraph"/>
        <w:numPr>
          <w:ilvl w:val="1"/>
          <w:numId w:val="6"/>
        </w:numPr>
        <w:ind w:left="1701" w:hanging="567"/>
        <w:jc w:val="both"/>
        <w:rPr>
          <w:rFonts w:cs="Arial"/>
          <w:bCs/>
        </w:rPr>
      </w:pPr>
      <w:r w:rsidRPr="00EA0FE5">
        <w:rPr>
          <w:rFonts w:cs="Arial"/>
          <w:b/>
        </w:rPr>
        <w:t>Libraries</w:t>
      </w:r>
      <w:r>
        <w:rPr>
          <w:rFonts w:cs="Arial"/>
          <w:bCs/>
        </w:rPr>
        <w:t xml:space="preserve"> – net underspend £5k. This is due to several part-time posts across the library portfolio which are forecast to remain vacant throughout the financial year of £30k partially offset by £25k in additional enhanced cleaning costs relating to Covid-19.</w:t>
      </w:r>
    </w:p>
    <w:p w14:paraId="4BAD189A" w14:textId="1152F3CD" w:rsidR="008470E0" w:rsidRDefault="008470E0" w:rsidP="008470E0">
      <w:pPr>
        <w:pStyle w:val="ListParagraph"/>
        <w:ind w:left="567"/>
        <w:jc w:val="both"/>
        <w:rPr>
          <w:rFonts w:cs="Arial"/>
          <w:bCs/>
        </w:rPr>
      </w:pPr>
    </w:p>
    <w:p w14:paraId="78562F88" w14:textId="77777777" w:rsidR="002A5286" w:rsidRPr="00F678AF" w:rsidRDefault="002A5286" w:rsidP="008470E0">
      <w:pPr>
        <w:pStyle w:val="ListParagraph"/>
        <w:ind w:left="567"/>
        <w:jc w:val="both"/>
        <w:rPr>
          <w:rFonts w:cs="Arial"/>
          <w:bCs/>
        </w:rPr>
      </w:pPr>
    </w:p>
    <w:p w14:paraId="4A959C31" w14:textId="77777777" w:rsidR="008470E0" w:rsidRPr="00C906E3" w:rsidRDefault="008470E0" w:rsidP="008470E0">
      <w:pPr>
        <w:pStyle w:val="ListParagraph"/>
        <w:numPr>
          <w:ilvl w:val="0"/>
          <w:numId w:val="6"/>
        </w:numPr>
        <w:ind w:left="567" w:hanging="567"/>
        <w:jc w:val="both"/>
        <w:rPr>
          <w:rFonts w:cs="Arial"/>
          <w:bCs/>
        </w:rPr>
      </w:pPr>
      <w:r>
        <w:rPr>
          <w:rFonts w:cs="Arial"/>
          <w:b/>
          <w:szCs w:val="24"/>
        </w:rPr>
        <w:t>Housing General Fund</w:t>
      </w:r>
    </w:p>
    <w:p w14:paraId="6895F23E" w14:textId="77777777" w:rsidR="008470E0" w:rsidRPr="00EA0FE5" w:rsidRDefault="008470E0" w:rsidP="008470E0">
      <w:pPr>
        <w:pStyle w:val="ListParagraph"/>
        <w:ind w:left="567"/>
        <w:jc w:val="both"/>
        <w:rPr>
          <w:rFonts w:cs="Arial"/>
          <w:bCs/>
        </w:rPr>
      </w:pPr>
    </w:p>
    <w:p w14:paraId="5B7B2AAF" w14:textId="0A504131" w:rsidR="008470E0" w:rsidRPr="00C906E3" w:rsidRDefault="008470E0" w:rsidP="008470E0">
      <w:pPr>
        <w:pStyle w:val="ListParagraph"/>
        <w:numPr>
          <w:ilvl w:val="0"/>
          <w:numId w:val="6"/>
        </w:numPr>
        <w:ind w:left="567" w:hanging="567"/>
        <w:jc w:val="both"/>
        <w:rPr>
          <w:rFonts w:cs="Arial"/>
          <w:bCs/>
        </w:rPr>
      </w:pPr>
      <w:r>
        <w:rPr>
          <w:rFonts w:cs="Arial"/>
          <w:bCs/>
          <w:szCs w:val="24"/>
        </w:rPr>
        <w:t>As at Q</w:t>
      </w:r>
      <w:r w:rsidR="00350DF8">
        <w:rPr>
          <w:rFonts w:cs="Arial"/>
          <w:bCs/>
          <w:szCs w:val="24"/>
        </w:rPr>
        <w:t>2</w:t>
      </w:r>
      <w:r>
        <w:rPr>
          <w:rFonts w:cs="Arial"/>
          <w:bCs/>
          <w:szCs w:val="24"/>
        </w:rPr>
        <w:t xml:space="preserve"> the Housing General Fund is projecting</w:t>
      </w:r>
      <w:r w:rsidR="00350DF8">
        <w:rPr>
          <w:rFonts w:cs="Arial"/>
          <w:bCs/>
          <w:szCs w:val="24"/>
        </w:rPr>
        <w:t xml:space="preserve"> a contribution to reserves of £218k and a cross divisional adjustment of £70k. </w:t>
      </w:r>
      <w:r>
        <w:rPr>
          <w:rFonts w:cs="Arial"/>
          <w:bCs/>
          <w:szCs w:val="24"/>
        </w:rPr>
        <w:t>The forecast also includes utilising £</w:t>
      </w:r>
      <w:r w:rsidR="00350DF8">
        <w:rPr>
          <w:rFonts w:cs="Arial"/>
          <w:bCs/>
          <w:szCs w:val="24"/>
        </w:rPr>
        <w:t>2.028</w:t>
      </w:r>
      <w:r>
        <w:rPr>
          <w:rFonts w:cs="Arial"/>
          <w:bCs/>
          <w:szCs w:val="24"/>
        </w:rPr>
        <w:t>m from the Homelessness Prevention Grant (formerly FHSG) to meet the costs associated with the Homelessness Reduction Act.</w:t>
      </w:r>
    </w:p>
    <w:p w14:paraId="1F216693" w14:textId="77777777" w:rsidR="008470E0" w:rsidRPr="00EA0FE5" w:rsidRDefault="008470E0" w:rsidP="008470E0">
      <w:pPr>
        <w:pStyle w:val="ListParagraph"/>
        <w:ind w:left="567"/>
        <w:jc w:val="both"/>
        <w:rPr>
          <w:rFonts w:cs="Arial"/>
          <w:bCs/>
        </w:rPr>
      </w:pPr>
    </w:p>
    <w:p w14:paraId="54229810" w14:textId="440FB14F" w:rsidR="008470E0" w:rsidRPr="00350DF8" w:rsidRDefault="008470E0" w:rsidP="008470E0">
      <w:pPr>
        <w:pStyle w:val="ListParagraph"/>
        <w:numPr>
          <w:ilvl w:val="0"/>
          <w:numId w:val="6"/>
        </w:numPr>
        <w:ind w:left="567" w:hanging="567"/>
        <w:jc w:val="both"/>
        <w:rPr>
          <w:rFonts w:cs="Arial"/>
          <w:bCs/>
        </w:rPr>
      </w:pPr>
      <w:r w:rsidRPr="008470E0">
        <w:rPr>
          <w:rFonts w:cs="Arial"/>
          <w:bCs/>
          <w:szCs w:val="24"/>
        </w:rPr>
        <w:t xml:space="preserve">It is expected that there will be a significant increase in homelessness approaches from the private rented sector as Government support and </w:t>
      </w:r>
      <w:r w:rsidRPr="008470E0">
        <w:rPr>
          <w:rFonts w:cs="Arial"/>
          <w:bCs/>
          <w:szCs w:val="24"/>
        </w:rPr>
        <w:lastRenderedPageBreak/>
        <w:t xml:space="preserve">mitigations such as the ban on evictions, furlough scheme extension and the extended six-month Section 21 notice period comes to an end. </w:t>
      </w:r>
    </w:p>
    <w:p w14:paraId="3197700C" w14:textId="77777777" w:rsidR="00350DF8" w:rsidRPr="00350DF8" w:rsidRDefault="00350DF8" w:rsidP="00350DF8">
      <w:pPr>
        <w:pStyle w:val="ListParagraph"/>
        <w:rPr>
          <w:rFonts w:cs="Arial"/>
          <w:bCs/>
        </w:rPr>
      </w:pPr>
    </w:p>
    <w:p w14:paraId="2911F958" w14:textId="61FD2151" w:rsidR="00350DF8" w:rsidRDefault="00350DF8" w:rsidP="008470E0">
      <w:pPr>
        <w:pStyle w:val="ListParagraph"/>
        <w:numPr>
          <w:ilvl w:val="0"/>
          <w:numId w:val="6"/>
        </w:numPr>
        <w:ind w:left="567" w:hanging="567"/>
        <w:jc w:val="both"/>
        <w:rPr>
          <w:rFonts w:cs="Arial"/>
          <w:bCs/>
        </w:rPr>
      </w:pPr>
      <w:r>
        <w:rPr>
          <w:rFonts w:cs="Arial"/>
          <w:bCs/>
        </w:rPr>
        <w:t>Estimated known pressures are summarised as follows</w:t>
      </w:r>
    </w:p>
    <w:p w14:paraId="190B71EC" w14:textId="77777777" w:rsidR="00350DF8" w:rsidRPr="00350DF8" w:rsidRDefault="00350DF8" w:rsidP="00350DF8">
      <w:pPr>
        <w:pStyle w:val="ListParagraph"/>
        <w:rPr>
          <w:rFonts w:cs="Arial"/>
          <w:bCs/>
        </w:rPr>
      </w:pPr>
    </w:p>
    <w:p w14:paraId="46F3FBB0" w14:textId="3A1A0363" w:rsidR="00350DF8" w:rsidRDefault="00350DF8" w:rsidP="00223AE7">
      <w:pPr>
        <w:pStyle w:val="ListParagraph"/>
        <w:numPr>
          <w:ilvl w:val="1"/>
          <w:numId w:val="6"/>
        </w:numPr>
        <w:ind w:left="1701" w:hanging="567"/>
        <w:jc w:val="both"/>
        <w:rPr>
          <w:rFonts w:cs="Arial"/>
          <w:bCs/>
        </w:rPr>
      </w:pPr>
      <w:r>
        <w:rPr>
          <w:rFonts w:cs="Arial"/>
          <w:bCs/>
        </w:rPr>
        <w:t>Additional costs of accommodating single homeless and rough sleepers of £31k. Bed &amp; Breakfast and other forms of emergency accommodation are initially used, then settle into more permanent private rented accommodation (costs net of Housing Benefit)</w:t>
      </w:r>
    </w:p>
    <w:p w14:paraId="1300B307" w14:textId="14170D04" w:rsidR="00350DF8" w:rsidRPr="008470E0" w:rsidRDefault="00350DF8" w:rsidP="00223AE7">
      <w:pPr>
        <w:pStyle w:val="ListParagraph"/>
        <w:numPr>
          <w:ilvl w:val="1"/>
          <w:numId w:val="6"/>
        </w:numPr>
        <w:ind w:left="1701" w:hanging="567"/>
        <w:jc w:val="both"/>
        <w:rPr>
          <w:rFonts w:cs="Arial"/>
          <w:bCs/>
        </w:rPr>
      </w:pPr>
      <w:r>
        <w:rPr>
          <w:rFonts w:cs="Arial"/>
          <w:bCs/>
        </w:rPr>
        <w:t>B&amp;B cases accommodated under discretionary power due to Covid-19 where homelessness duty has ended total costs £165k</w:t>
      </w:r>
    </w:p>
    <w:p w14:paraId="4E30751A" w14:textId="07D8157F" w:rsidR="008470E0" w:rsidRDefault="008470E0" w:rsidP="008470E0">
      <w:pPr>
        <w:jc w:val="both"/>
        <w:rPr>
          <w:rFonts w:cs="Arial"/>
          <w:bCs/>
        </w:rPr>
      </w:pPr>
    </w:p>
    <w:p w14:paraId="340957BD" w14:textId="77777777" w:rsidR="008470E0" w:rsidRPr="00EA0FE5" w:rsidRDefault="008470E0" w:rsidP="008470E0">
      <w:pPr>
        <w:pStyle w:val="ListParagraph"/>
        <w:numPr>
          <w:ilvl w:val="0"/>
          <w:numId w:val="6"/>
        </w:numPr>
        <w:ind w:left="567" w:hanging="567"/>
        <w:jc w:val="both"/>
        <w:rPr>
          <w:rFonts w:cs="Arial"/>
          <w:bCs/>
        </w:rPr>
      </w:pPr>
      <w:r>
        <w:rPr>
          <w:rFonts w:cs="Arial"/>
          <w:b/>
          <w:szCs w:val="24"/>
        </w:rPr>
        <w:t>Regeneration</w:t>
      </w:r>
    </w:p>
    <w:p w14:paraId="6577B9B6" w14:textId="77777777" w:rsidR="008470E0" w:rsidRPr="00EA0FE5" w:rsidRDefault="008470E0" w:rsidP="008470E0">
      <w:pPr>
        <w:pStyle w:val="ListParagraph"/>
        <w:ind w:left="567"/>
        <w:jc w:val="both"/>
        <w:rPr>
          <w:rFonts w:cs="Arial"/>
          <w:bCs/>
        </w:rPr>
      </w:pPr>
    </w:p>
    <w:p w14:paraId="3D1C62F8" w14:textId="4F312746" w:rsidR="008470E0" w:rsidRPr="00F04692" w:rsidRDefault="008470E0" w:rsidP="008470E0">
      <w:pPr>
        <w:pStyle w:val="ListParagraph"/>
        <w:numPr>
          <w:ilvl w:val="0"/>
          <w:numId w:val="6"/>
        </w:numPr>
        <w:ind w:left="567" w:hanging="567"/>
        <w:jc w:val="both"/>
        <w:rPr>
          <w:rFonts w:cs="Arial"/>
          <w:bCs/>
        </w:rPr>
      </w:pPr>
      <w:r>
        <w:rPr>
          <w:rFonts w:cs="Arial"/>
          <w:bCs/>
          <w:szCs w:val="24"/>
        </w:rPr>
        <w:t>The Regeneration Programme revenue budget for 2021/22 is £1.250m and is forecast to spend within budget. The majority of the costs relate to staffing and additional consultancy advice however a portion of the spend is attributable to the financial impact of Covid-19.</w:t>
      </w:r>
    </w:p>
    <w:p w14:paraId="7D033E86" w14:textId="77777777" w:rsidR="00F04692" w:rsidRPr="00F04692" w:rsidRDefault="00F04692" w:rsidP="00F04692">
      <w:pPr>
        <w:pStyle w:val="ListParagraph"/>
        <w:rPr>
          <w:rFonts w:cs="Arial"/>
          <w:bCs/>
        </w:rPr>
      </w:pPr>
    </w:p>
    <w:p w14:paraId="050D947F" w14:textId="3271858F" w:rsidR="008470E0" w:rsidRDefault="008470E0" w:rsidP="008470E0">
      <w:pPr>
        <w:pStyle w:val="ListParagraph"/>
        <w:ind w:left="567"/>
        <w:jc w:val="both"/>
        <w:rPr>
          <w:rFonts w:cs="Arial"/>
          <w:bCs/>
        </w:rPr>
      </w:pPr>
    </w:p>
    <w:p w14:paraId="75067BCA" w14:textId="77777777" w:rsidR="008470E0" w:rsidRPr="00157B60" w:rsidRDefault="008470E0" w:rsidP="008470E0">
      <w:pPr>
        <w:pStyle w:val="ListParagraph"/>
        <w:ind w:left="1180" w:right="-1" w:hanging="613"/>
        <w:rPr>
          <w:rFonts w:cs="Arial"/>
          <w:b/>
        </w:rPr>
      </w:pPr>
      <w:r w:rsidRPr="00157B60">
        <w:rPr>
          <w:rFonts w:cs="Arial"/>
          <w:b/>
        </w:rPr>
        <w:t>PEOPLE SERVICES</w:t>
      </w:r>
    </w:p>
    <w:p w14:paraId="14C7E24E" w14:textId="77777777" w:rsidR="008470E0" w:rsidRPr="00157B60" w:rsidRDefault="008470E0" w:rsidP="008470E0">
      <w:pPr>
        <w:pStyle w:val="ListParagraph"/>
        <w:rPr>
          <w:rFonts w:cs="Arial"/>
          <w:bCs/>
          <w:szCs w:val="24"/>
        </w:rPr>
      </w:pPr>
    </w:p>
    <w:p w14:paraId="53418FCB" w14:textId="64C7904C" w:rsidR="008470E0" w:rsidRPr="00F97697" w:rsidRDefault="008470E0" w:rsidP="008470E0">
      <w:pPr>
        <w:pStyle w:val="ListParagraph"/>
        <w:numPr>
          <w:ilvl w:val="0"/>
          <w:numId w:val="6"/>
        </w:numPr>
        <w:ind w:left="567" w:hanging="567"/>
        <w:jc w:val="both"/>
        <w:rPr>
          <w:rFonts w:cs="Arial"/>
          <w:bCs/>
        </w:rPr>
      </w:pPr>
      <w:r w:rsidRPr="00157B60">
        <w:rPr>
          <w:rFonts w:cs="Arial"/>
          <w:bCs/>
          <w:szCs w:val="24"/>
        </w:rPr>
        <w:t>The</w:t>
      </w:r>
      <w:r>
        <w:rPr>
          <w:rFonts w:cs="Arial"/>
          <w:bCs/>
          <w:szCs w:val="24"/>
        </w:rPr>
        <w:t xml:space="preserve"> forecast for People Services at Q</w:t>
      </w:r>
      <w:r w:rsidR="00F97697">
        <w:rPr>
          <w:rFonts w:cs="Arial"/>
          <w:bCs/>
          <w:szCs w:val="24"/>
        </w:rPr>
        <w:t>2</w:t>
      </w:r>
      <w:r>
        <w:rPr>
          <w:rFonts w:cs="Arial"/>
          <w:bCs/>
          <w:szCs w:val="24"/>
        </w:rPr>
        <w:t xml:space="preserve"> is a net overspend of £</w:t>
      </w:r>
      <w:r w:rsidR="00F97697">
        <w:rPr>
          <w:rFonts w:cs="Arial"/>
          <w:bCs/>
          <w:szCs w:val="24"/>
        </w:rPr>
        <w:t>1.564</w:t>
      </w:r>
      <w:r>
        <w:rPr>
          <w:rFonts w:cs="Arial"/>
          <w:bCs/>
          <w:szCs w:val="24"/>
        </w:rPr>
        <w:t>m after drawdowns from reserves and cross divisional adjustments.</w:t>
      </w:r>
    </w:p>
    <w:p w14:paraId="17412871" w14:textId="376A6690" w:rsidR="00F97697" w:rsidRDefault="00F97697" w:rsidP="00F97697">
      <w:pPr>
        <w:jc w:val="both"/>
        <w:rPr>
          <w:rFonts w:cs="Arial"/>
          <w:bCs/>
        </w:rPr>
      </w:pPr>
    </w:p>
    <w:tbl>
      <w:tblPr>
        <w:tblStyle w:val="TableGrid"/>
        <w:tblW w:w="8789" w:type="dxa"/>
        <w:tblInd w:w="-5" w:type="dxa"/>
        <w:tblLook w:val="04A0" w:firstRow="1" w:lastRow="0" w:firstColumn="1" w:lastColumn="0" w:noHBand="0" w:noVBand="1"/>
      </w:tblPr>
      <w:tblGrid>
        <w:gridCol w:w="2410"/>
        <w:gridCol w:w="2268"/>
        <w:gridCol w:w="2268"/>
        <w:gridCol w:w="1843"/>
      </w:tblGrid>
      <w:tr w:rsidR="00F97697" w:rsidRPr="00F97697" w14:paraId="51600FC7" w14:textId="77777777" w:rsidTr="001A2B6C">
        <w:tc>
          <w:tcPr>
            <w:tcW w:w="2410" w:type="dxa"/>
          </w:tcPr>
          <w:p w14:paraId="10E24B92" w14:textId="77777777" w:rsidR="00F97697" w:rsidRPr="00F97697" w:rsidRDefault="00F97697" w:rsidP="001A2B6C">
            <w:pPr>
              <w:pStyle w:val="ListParagraph"/>
              <w:ind w:left="0"/>
              <w:jc w:val="both"/>
              <w:rPr>
                <w:rFonts w:cs="Arial"/>
                <w:b/>
                <w:bCs/>
                <w:sz w:val="22"/>
                <w:szCs w:val="22"/>
              </w:rPr>
            </w:pPr>
            <w:r w:rsidRPr="00F97697">
              <w:rPr>
                <w:b/>
                <w:bCs/>
                <w:sz w:val="22"/>
                <w:szCs w:val="22"/>
              </w:rPr>
              <w:t>Period</w:t>
            </w:r>
          </w:p>
        </w:tc>
        <w:tc>
          <w:tcPr>
            <w:tcW w:w="2268" w:type="dxa"/>
          </w:tcPr>
          <w:p w14:paraId="5479C8A6" w14:textId="77777777" w:rsidR="00F97697" w:rsidRPr="00F97697" w:rsidRDefault="00F97697" w:rsidP="001A2B6C">
            <w:pPr>
              <w:pStyle w:val="ListParagraph"/>
              <w:ind w:left="0"/>
              <w:jc w:val="both"/>
              <w:rPr>
                <w:rFonts w:cs="Arial"/>
                <w:b/>
                <w:bCs/>
                <w:sz w:val="22"/>
                <w:szCs w:val="22"/>
              </w:rPr>
            </w:pPr>
            <w:r w:rsidRPr="00F97697">
              <w:rPr>
                <w:b/>
                <w:bCs/>
                <w:sz w:val="22"/>
                <w:szCs w:val="22"/>
              </w:rPr>
              <w:t>Budget £’000</w:t>
            </w:r>
          </w:p>
        </w:tc>
        <w:tc>
          <w:tcPr>
            <w:tcW w:w="2268" w:type="dxa"/>
          </w:tcPr>
          <w:p w14:paraId="5F137360" w14:textId="77777777" w:rsidR="00F97697" w:rsidRPr="00F97697" w:rsidRDefault="00F97697" w:rsidP="001A2B6C">
            <w:pPr>
              <w:pStyle w:val="ListParagraph"/>
              <w:ind w:left="0"/>
              <w:jc w:val="both"/>
              <w:rPr>
                <w:rFonts w:cs="Arial"/>
                <w:b/>
                <w:bCs/>
                <w:sz w:val="22"/>
                <w:szCs w:val="22"/>
              </w:rPr>
            </w:pPr>
            <w:r w:rsidRPr="00F97697">
              <w:rPr>
                <w:b/>
                <w:bCs/>
                <w:sz w:val="22"/>
                <w:szCs w:val="22"/>
              </w:rPr>
              <w:t>Forecast £’000</w:t>
            </w:r>
          </w:p>
        </w:tc>
        <w:tc>
          <w:tcPr>
            <w:tcW w:w="1843" w:type="dxa"/>
          </w:tcPr>
          <w:p w14:paraId="083E195F" w14:textId="77777777" w:rsidR="00F97697" w:rsidRPr="00F97697" w:rsidRDefault="00F97697" w:rsidP="001A2B6C">
            <w:pPr>
              <w:pStyle w:val="ListParagraph"/>
              <w:ind w:left="0"/>
              <w:jc w:val="both"/>
              <w:rPr>
                <w:rFonts w:cs="Arial"/>
                <w:b/>
                <w:bCs/>
                <w:sz w:val="22"/>
                <w:szCs w:val="22"/>
              </w:rPr>
            </w:pPr>
            <w:r w:rsidRPr="00F97697">
              <w:rPr>
                <w:b/>
                <w:bCs/>
                <w:sz w:val="22"/>
                <w:szCs w:val="22"/>
              </w:rPr>
              <w:t>Variance £’000</w:t>
            </w:r>
          </w:p>
        </w:tc>
      </w:tr>
      <w:tr w:rsidR="00F97697" w:rsidRPr="00F97697" w14:paraId="7FAC6BA4" w14:textId="77777777" w:rsidTr="001A2B6C">
        <w:tc>
          <w:tcPr>
            <w:tcW w:w="2410" w:type="dxa"/>
          </w:tcPr>
          <w:p w14:paraId="6D4A1CF5" w14:textId="77777777" w:rsidR="00F97697" w:rsidRPr="00F97697" w:rsidRDefault="00F97697" w:rsidP="00F97697">
            <w:pPr>
              <w:pStyle w:val="ListParagraph"/>
              <w:ind w:left="0"/>
              <w:jc w:val="both"/>
              <w:rPr>
                <w:rFonts w:cs="Arial"/>
                <w:sz w:val="22"/>
                <w:szCs w:val="22"/>
              </w:rPr>
            </w:pPr>
            <w:r w:rsidRPr="00F97697">
              <w:rPr>
                <w:sz w:val="22"/>
                <w:szCs w:val="22"/>
              </w:rPr>
              <w:t>Q1</w:t>
            </w:r>
          </w:p>
        </w:tc>
        <w:tc>
          <w:tcPr>
            <w:tcW w:w="2268" w:type="dxa"/>
          </w:tcPr>
          <w:p w14:paraId="4F45D0C6" w14:textId="41DC73CC" w:rsidR="00F97697" w:rsidRPr="00F97697" w:rsidRDefault="00F97697" w:rsidP="00F97697">
            <w:pPr>
              <w:pStyle w:val="ListParagraph"/>
              <w:ind w:left="0"/>
              <w:jc w:val="right"/>
              <w:rPr>
                <w:rFonts w:cs="Arial"/>
                <w:sz w:val="22"/>
                <w:szCs w:val="22"/>
              </w:rPr>
            </w:pPr>
            <w:r w:rsidRPr="00F97697">
              <w:rPr>
                <w:sz w:val="22"/>
                <w:szCs w:val="22"/>
              </w:rPr>
              <w:t>£105,305</w:t>
            </w:r>
          </w:p>
        </w:tc>
        <w:tc>
          <w:tcPr>
            <w:tcW w:w="2268" w:type="dxa"/>
          </w:tcPr>
          <w:p w14:paraId="446719D1" w14:textId="2DAE7EC8" w:rsidR="00F97697" w:rsidRPr="00F97697" w:rsidRDefault="00F97697" w:rsidP="00F97697">
            <w:pPr>
              <w:pStyle w:val="ListParagraph"/>
              <w:ind w:left="0"/>
              <w:jc w:val="right"/>
              <w:rPr>
                <w:rFonts w:cs="Arial"/>
                <w:sz w:val="22"/>
                <w:szCs w:val="22"/>
              </w:rPr>
            </w:pPr>
            <w:r w:rsidRPr="00F97697">
              <w:rPr>
                <w:sz w:val="22"/>
                <w:szCs w:val="22"/>
              </w:rPr>
              <w:t>£108,261</w:t>
            </w:r>
          </w:p>
        </w:tc>
        <w:tc>
          <w:tcPr>
            <w:tcW w:w="1843" w:type="dxa"/>
          </w:tcPr>
          <w:p w14:paraId="42563141" w14:textId="05A7EB6B" w:rsidR="00F97697" w:rsidRPr="00F97697" w:rsidRDefault="00F97697" w:rsidP="00F97697">
            <w:pPr>
              <w:pStyle w:val="ListParagraph"/>
              <w:ind w:left="0"/>
              <w:jc w:val="right"/>
              <w:rPr>
                <w:rFonts w:cs="Arial"/>
                <w:sz w:val="22"/>
                <w:szCs w:val="22"/>
              </w:rPr>
            </w:pPr>
            <w:r w:rsidRPr="00F97697">
              <w:rPr>
                <w:sz w:val="22"/>
                <w:szCs w:val="22"/>
              </w:rPr>
              <w:t>£2,956</w:t>
            </w:r>
          </w:p>
        </w:tc>
      </w:tr>
      <w:tr w:rsidR="00F97697" w:rsidRPr="00F97697" w14:paraId="11899BA3" w14:textId="77777777" w:rsidTr="001A2B6C">
        <w:tc>
          <w:tcPr>
            <w:tcW w:w="2410" w:type="dxa"/>
          </w:tcPr>
          <w:p w14:paraId="14AA7B66" w14:textId="77777777" w:rsidR="00F97697" w:rsidRPr="00F97697" w:rsidRDefault="00F97697" w:rsidP="00F97697">
            <w:pPr>
              <w:pStyle w:val="ListParagraph"/>
              <w:ind w:left="0"/>
              <w:jc w:val="both"/>
              <w:rPr>
                <w:rFonts w:cs="Arial"/>
                <w:sz w:val="22"/>
                <w:szCs w:val="22"/>
              </w:rPr>
            </w:pPr>
            <w:r w:rsidRPr="00F97697">
              <w:rPr>
                <w:sz w:val="22"/>
                <w:szCs w:val="22"/>
              </w:rPr>
              <w:t>Q2</w:t>
            </w:r>
          </w:p>
        </w:tc>
        <w:tc>
          <w:tcPr>
            <w:tcW w:w="2268" w:type="dxa"/>
          </w:tcPr>
          <w:p w14:paraId="6B4CC59A" w14:textId="784465EE" w:rsidR="00F97697" w:rsidRPr="00F97697" w:rsidRDefault="00F97697" w:rsidP="00F97697">
            <w:pPr>
              <w:pStyle w:val="ListParagraph"/>
              <w:ind w:left="0"/>
              <w:jc w:val="right"/>
              <w:rPr>
                <w:rFonts w:cs="Arial"/>
                <w:sz w:val="22"/>
                <w:szCs w:val="22"/>
              </w:rPr>
            </w:pPr>
            <w:r w:rsidRPr="00F97697">
              <w:rPr>
                <w:sz w:val="22"/>
                <w:szCs w:val="22"/>
              </w:rPr>
              <w:t>£105,370</w:t>
            </w:r>
          </w:p>
        </w:tc>
        <w:tc>
          <w:tcPr>
            <w:tcW w:w="2268" w:type="dxa"/>
          </w:tcPr>
          <w:p w14:paraId="7B45A512" w14:textId="7B3AA72D" w:rsidR="00F97697" w:rsidRPr="00F97697" w:rsidRDefault="00F97697" w:rsidP="00F97697">
            <w:pPr>
              <w:pStyle w:val="ListParagraph"/>
              <w:ind w:left="0"/>
              <w:jc w:val="right"/>
              <w:rPr>
                <w:rFonts w:cs="Arial"/>
                <w:sz w:val="22"/>
                <w:szCs w:val="22"/>
              </w:rPr>
            </w:pPr>
            <w:r w:rsidRPr="00F97697">
              <w:rPr>
                <w:sz w:val="22"/>
                <w:szCs w:val="22"/>
              </w:rPr>
              <w:t>£106,934</w:t>
            </w:r>
          </w:p>
        </w:tc>
        <w:tc>
          <w:tcPr>
            <w:tcW w:w="1843" w:type="dxa"/>
          </w:tcPr>
          <w:p w14:paraId="39DA94C2" w14:textId="051F6BE4" w:rsidR="00F97697" w:rsidRPr="00F97697" w:rsidRDefault="00F97697" w:rsidP="00F97697">
            <w:pPr>
              <w:pStyle w:val="ListParagraph"/>
              <w:ind w:left="0"/>
              <w:jc w:val="right"/>
              <w:rPr>
                <w:rFonts w:cs="Arial"/>
                <w:sz w:val="22"/>
                <w:szCs w:val="22"/>
              </w:rPr>
            </w:pPr>
            <w:r w:rsidRPr="00F97697">
              <w:rPr>
                <w:sz w:val="22"/>
                <w:szCs w:val="22"/>
              </w:rPr>
              <w:t>£1,564</w:t>
            </w:r>
          </w:p>
        </w:tc>
      </w:tr>
      <w:tr w:rsidR="00F97697" w:rsidRPr="00F97697" w14:paraId="111D89D2" w14:textId="77777777" w:rsidTr="001A2B6C">
        <w:tc>
          <w:tcPr>
            <w:tcW w:w="2410" w:type="dxa"/>
          </w:tcPr>
          <w:p w14:paraId="672488CA" w14:textId="77777777" w:rsidR="00F97697" w:rsidRPr="00F97697" w:rsidRDefault="00F97697" w:rsidP="00F97697">
            <w:pPr>
              <w:pStyle w:val="ListParagraph"/>
              <w:ind w:left="0"/>
              <w:jc w:val="both"/>
              <w:rPr>
                <w:rFonts w:cs="Arial"/>
                <w:b/>
                <w:bCs/>
                <w:sz w:val="22"/>
                <w:szCs w:val="22"/>
              </w:rPr>
            </w:pPr>
            <w:r w:rsidRPr="00F97697">
              <w:rPr>
                <w:b/>
                <w:bCs/>
                <w:sz w:val="22"/>
                <w:szCs w:val="22"/>
              </w:rPr>
              <w:t>Variance</w:t>
            </w:r>
          </w:p>
        </w:tc>
        <w:tc>
          <w:tcPr>
            <w:tcW w:w="2268" w:type="dxa"/>
          </w:tcPr>
          <w:p w14:paraId="7FA09FA5" w14:textId="7B169E04" w:rsidR="00F97697" w:rsidRPr="00F97697" w:rsidRDefault="00F97697" w:rsidP="00F97697">
            <w:pPr>
              <w:pStyle w:val="ListParagraph"/>
              <w:ind w:left="0"/>
              <w:jc w:val="right"/>
              <w:rPr>
                <w:rFonts w:cs="Arial"/>
                <w:b/>
                <w:bCs/>
                <w:sz w:val="22"/>
                <w:szCs w:val="22"/>
              </w:rPr>
            </w:pPr>
            <w:r w:rsidRPr="00F97697">
              <w:rPr>
                <w:sz w:val="22"/>
                <w:szCs w:val="22"/>
              </w:rPr>
              <w:t>£65</w:t>
            </w:r>
          </w:p>
        </w:tc>
        <w:tc>
          <w:tcPr>
            <w:tcW w:w="2268" w:type="dxa"/>
          </w:tcPr>
          <w:p w14:paraId="50197D38" w14:textId="2BEFD078" w:rsidR="00F97697" w:rsidRPr="00F97697" w:rsidRDefault="00F97697" w:rsidP="00F97697">
            <w:pPr>
              <w:pStyle w:val="ListParagraph"/>
              <w:ind w:left="0"/>
              <w:jc w:val="right"/>
              <w:rPr>
                <w:rFonts w:cs="Arial"/>
                <w:b/>
                <w:bCs/>
                <w:sz w:val="22"/>
                <w:szCs w:val="22"/>
              </w:rPr>
            </w:pPr>
            <w:r w:rsidRPr="00F97697">
              <w:rPr>
                <w:sz w:val="22"/>
                <w:szCs w:val="22"/>
              </w:rPr>
              <w:t>-£1,327</w:t>
            </w:r>
          </w:p>
        </w:tc>
        <w:tc>
          <w:tcPr>
            <w:tcW w:w="1843" w:type="dxa"/>
          </w:tcPr>
          <w:p w14:paraId="7CE5A5FB" w14:textId="41DAE6C0" w:rsidR="00F97697" w:rsidRPr="00F97697" w:rsidRDefault="00F97697" w:rsidP="00F97697">
            <w:pPr>
              <w:pStyle w:val="ListParagraph"/>
              <w:ind w:left="0"/>
              <w:jc w:val="right"/>
              <w:rPr>
                <w:rFonts w:cs="Arial"/>
                <w:b/>
                <w:bCs/>
                <w:sz w:val="22"/>
                <w:szCs w:val="22"/>
              </w:rPr>
            </w:pPr>
            <w:r w:rsidRPr="00F97697">
              <w:rPr>
                <w:sz w:val="22"/>
                <w:szCs w:val="22"/>
              </w:rPr>
              <w:t>-£1,392</w:t>
            </w:r>
          </w:p>
        </w:tc>
      </w:tr>
    </w:tbl>
    <w:p w14:paraId="07ED7FE7" w14:textId="3D506F60" w:rsidR="00F97697" w:rsidRDefault="00F97697" w:rsidP="00F97697">
      <w:pPr>
        <w:jc w:val="both"/>
        <w:rPr>
          <w:rFonts w:cs="Arial"/>
          <w:bCs/>
        </w:rPr>
      </w:pPr>
    </w:p>
    <w:p w14:paraId="51CD8107" w14:textId="77777777" w:rsidR="00F97697" w:rsidRPr="00F97697" w:rsidRDefault="00F97697" w:rsidP="00F97697">
      <w:pPr>
        <w:jc w:val="both"/>
        <w:rPr>
          <w:rFonts w:cs="Arial"/>
          <w:bCs/>
        </w:rPr>
      </w:pPr>
    </w:p>
    <w:p w14:paraId="15364733" w14:textId="77777777" w:rsidR="008470E0" w:rsidRPr="00EA004C" w:rsidRDefault="008470E0" w:rsidP="008470E0">
      <w:pPr>
        <w:pStyle w:val="ListParagraph"/>
        <w:ind w:left="567"/>
        <w:jc w:val="both"/>
        <w:rPr>
          <w:rFonts w:cs="Arial"/>
          <w:bCs/>
        </w:rPr>
      </w:pPr>
    </w:p>
    <w:p w14:paraId="77653802" w14:textId="2B15751C" w:rsidR="00F97697" w:rsidRDefault="00F97697" w:rsidP="008470E0">
      <w:pPr>
        <w:pStyle w:val="ListParagraph"/>
        <w:numPr>
          <w:ilvl w:val="0"/>
          <w:numId w:val="6"/>
        </w:numPr>
        <w:ind w:left="567" w:hanging="567"/>
        <w:jc w:val="both"/>
        <w:rPr>
          <w:rFonts w:cs="Arial"/>
          <w:bCs/>
        </w:rPr>
      </w:pPr>
      <w:r>
        <w:rPr>
          <w:rFonts w:cs="Arial"/>
          <w:bCs/>
        </w:rPr>
        <w:t>This is reduction from the position reported at Q1 of £1.392m This is made up of</w:t>
      </w:r>
    </w:p>
    <w:p w14:paraId="713A7CE6" w14:textId="270001AF" w:rsidR="00F97697" w:rsidRDefault="001A35DC" w:rsidP="001A35DC">
      <w:pPr>
        <w:pStyle w:val="ListParagraph"/>
        <w:numPr>
          <w:ilvl w:val="1"/>
          <w:numId w:val="6"/>
        </w:numPr>
        <w:ind w:left="1701" w:hanging="567"/>
        <w:jc w:val="both"/>
        <w:rPr>
          <w:rFonts w:cs="Arial"/>
          <w:bCs/>
        </w:rPr>
      </w:pPr>
      <w:r>
        <w:rPr>
          <w:rFonts w:cs="Arial"/>
          <w:bCs/>
        </w:rPr>
        <w:t>Adult Services - £1.091m reduction in spend previously anticipated to be funded from the Adults Social Care Reserve</w:t>
      </w:r>
    </w:p>
    <w:p w14:paraId="464D5238" w14:textId="566C93F0" w:rsidR="001A35DC" w:rsidRPr="00F97697" w:rsidRDefault="001A35DC" w:rsidP="001A35DC">
      <w:pPr>
        <w:pStyle w:val="ListParagraph"/>
        <w:numPr>
          <w:ilvl w:val="1"/>
          <w:numId w:val="6"/>
        </w:numPr>
        <w:ind w:left="1701" w:hanging="567"/>
        <w:jc w:val="both"/>
        <w:rPr>
          <w:rFonts w:cs="Arial"/>
          <w:bCs/>
        </w:rPr>
      </w:pPr>
      <w:r>
        <w:rPr>
          <w:rFonts w:cs="Arial"/>
          <w:bCs/>
        </w:rPr>
        <w:t>Children’s Services - £301k reduction in spend mainly related to SEN Transport</w:t>
      </w:r>
    </w:p>
    <w:p w14:paraId="1DD03D5A" w14:textId="77777777" w:rsidR="001A35DC" w:rsidRPr="001A35DC" w:rsidRDefault="001A35DC" w:rsidP="001A35DC">
      <w:pPr>
        <w:pStyle w:val="ListParagraph"/>
        <w:ind w:left="567"/>
        <w:jc w:val="both"/>
        <w:rPr>
          <w:rFonts w:cs="Arial"/>
          <w:bCs/>
        </w:rPr>
      </w:pPr>
    </w:p>
    <w:p w14:paraId="5E562AF2" w14:textId="27342744" w:rsidR="008470E0" w:rsidRPr="00EA004C" w:rsidRDefault="008470E0" w:rsidP="008470E0">
      <w:pPr>
        <w:pStyle w:val="ListParagraph"/>
        <w:numPr>
          <w:ilvl w:val="0"/>
          <w:numId w:val="6"/>
        </w:numPr>
        <w:ind w:left="567" w:hanging="567"/>
        <w:jc w:val="both"/>
        <w:rPr>
          <w:rFonts w:cs="Arial"/>
          <w:bCs/>
        </w:rPr>
      </w:pPr>
      <w:r w:rsidRPr="00EA004C">
        <w:rPr>
          <w:szCs w:val="24"/>
        </w:rPr>
        <w:t xml:space="preserve">The </w:t>
      </w:r>
      <w:r w:rsidR="001A35DC">
        <w:rPr>
          <w:szCs w:val="24"/>
        </w:rPr>
        <w:t xml:space="preserve">movements and </w:t>
      </w:r>
      <w:r w:rsidRPr="00EA004C">
        <w:rPr>
          <w:rFonts w:cs="Arial"/>
          <w:bCs/>
        </w:rPr>
        <w:t xml:space="preserve">variations are explained in more detail </w:t>
      </w:r>
      <w:r>
        <w:rPr>
          <w:rFonts w:cs="Arial"/>
          <w:bCs/>
        </w:rPr>
        <w:t>in the following paragraphs.</w:t>
      </w:r>
    </w:p>
    <w:p w14:paraId="2ABA6154" w14:textId="77777777" w:rsidR="008470E0" w:rsidRDefault="008470E0" w:rsidP="008470E0">
      <w:pPr>
        <w:jc w:val="both"/>
        <w:rPr>
          <w:rFonts w:cs="Arial"/>
          <w:bCs/>
        </w:rPr>
      </w:pPr>
    </w:p>
    <w:p w14:paraId="4B349E12" w14:textId="77777777" w:rsidR="008470E0" w:rsidRPr="00157B60" w:rsidRDefault="008470E0" w:rsidP="008470E0">
      <w:pPr>
        <w:jc w:val="both"/>
        <w:rPr>
          <w:rFonts w:cs="Arial"/>
          <w:b/>
        </w:rPr>
      </w:pPr>
      <w:r w:rsidRPr="00157B60">
        <w:rPr>
          <w:rFonts w:cs="Arial"/>
          <w:b/>
        </w:rPr>
        <w:t>Adult Services</w:t>
      </w:r>
    </w:p>
    <w:p w14:paraId="3CA0E81D" w14:textId="77777777" w:rsidR="008470E0" w:rsidRPr="00157B60" w:rsidRDefault="008470E0" w:rsidP="008470E0">
      <w:pPr>
        <w:jc w:val="both"/>
        <w:rPr>
          <w:rFonts w:cs="Arial"/>
          <w:bCs/>
        </w:rPr>
      </w:pPr>
    </w:p>
    <w:p w14:paraId="03F576A2" w14:textId="6A1E26BB" w:rsidR="008470E0" w:rsidRPr="001A35DC" w:rsidRDefault="008470E0" w:rsidP="001A35DC">
      <w:pPr>
        <w:pStyle w:val="ListParagraph"/>
        <w:numPr>
          <w:ilvl w:val="0"/>
          <w:numId w:val="6"/>
        </w:numPr>
        <w:ind w:left="460" w:hanging="567"/>
        <w:jc w:val="both"/>
        <w:rPr>
          <w:rFonts w:cs="Arial"/>
          <w:szCs w:val="24"/>
        </w:rPr>
      </w:pPr>
      <w:r>
        <w:rPr>
          <w:rFonts w:cs="Arial"/>
        </w:rPr>
        <w:t>As at Q</w:t>
      </w:r>
      <w:r w:rsidR="001A35DC">
        <w:rPr>
          <w:rFonts w:cs="Arial"/>
        </w:rPr>
        <w:t>2</w:t>
      </w:r>
      <w:r w:rsidRPr="001A35DC">
        <w:rPr>
          <w:rFonts w:cs="Arial"/>
        </w:rPr>
        <w:t xml:space="preserve"> the forecast for Adult Services </w:t>
      </w:r>
      <w:r w:rsidR="001A35DC">
        <w:rPr>
          <w:rFonts w:cs="Arial"/>
        </w:rPr>
        <w:t>indicates that the service will be delivered within the budget allocated</w:t>
      </w:r>
      <w:bookmarkStart w:id="4" w:name="_Hlk48752687"/>
      <w:r w:rsidR="00EC0C8F">
        <w:rPr>
          <w:rFonts w:cs="Arial"/>
        </w:rPr>
        <w:t>.</w:t>
      </w:r>
    </w:p>
    <w:p w14:paraId="7AD4CD03" w14:textId="77777777" w:rsidR="008470E0" w:rsidRPr="007052E5" w:rsidRDefault="008470E0" w:rsidP="008470E0">
      <w:pPr>
        <w:pStyle w:val="ListParagraph"/>
        <w:ind w:left="460"/>
        <w:jc w:val="both"/>
        <w:rPr>
          <w:rFonts w:cs="Arial"/>
          <w:szCs w:val="24"/>
        </w:rPr>
      </w:pPr>
    </w:p>
    <w:p w14:paraId="50C9D3B7" w14:textId="5B0FE160" w:rsidR="008470E0" w:rsidRDefault="001A35DC" w:rsidP="008470E0">
      <w:pPr>
        <w:pStyle w:val="ListParagraph"/>
        <w:numPr>
          <w:ilvl w:val="0"/>
          <w:numId w:val="6"/>
        </w:numPr>
        <w:ind w:left="460" w:hanging="567"/>
        <w:jc w:val="both"/>
        <w:rPr>
          <w:rFonts w:cs="Arial"/>
          <w:szCs w:val="24"/>
        </w:rPr>
      </w:pPr>
      <w:r>
        <w:rPr>
          <w:rFonts w:cs="Arial"/>
          <w:szCs w:val="24"/>
        </w:rPr>
        <w:t>At this point in the financial year it is challenging to forecast the position with certainty given that the services continue to be affected by the pandemic.</w:t>
      </w:r>
    </w:p>
    <w:p w14:paraId="69CBF569" w14:textId="4B16B981" w:rsidR="008470E0" w:rsidRDefault="008470E0" w:rsidP="008470E0">
      <w:pPr>
        <w:jc w:val="both"/>
        <w:rPr>
          <w:rFonts w:cs="Arial"/>
          <w:szCs w:val="24"/>
        </w:rPr>
      </w:pPr>
    </w:p>
    <w:p w14:paraId="5092A67E" w14:textId="1BC9AA5D" w:rsidR="008470E0" w:rsidRPr="00526DE5" w:rsidRDefault="008470E0" w:rsidP="00526DE5">
      <w:pPr>
        <w:pStyle w:val="ListParagraph"/>
        <w:numPr>
          <w:ilvl w:val="0"/>
          <w:numId w:val="6"/>
        </w:numPr>
        <w:ind w:left="460" w:hanging="567"/>
        <w:jc w:val="both"/>
        <w:rPr>
          <w:rFonts w:cs="Arial"/>
          <w:szCs w:val="24"/>
        </w:rPr>
      </w:pPr>
      <w:r w:rsidRPr="007A5F5C">
        <w:rPr>
          <w:rFonts w:cs="Arial"/>
          <w:b/>
          <w:bCs/>
          <w:szCs w:val="24"/>
        </w:rPr>
        <w:t>Strategic Management</w:t>
      </w:r>
      <w:r>
        <w:rPr>
          <w:rFonts w:cs="Arial"/>
          <w:szCs w:val="24"/>
        </w:rPr>
        <w:t xml:space="preserve"> – </w:t>
      </w:r>
      <w:r w:rsidR="001A35DC">
        <w:rPr>
          <w:rFonts w:cs="Arial"/>
          <w:szCs w:val="24"/>
        </w:rPr>
        <w:t>net overspend £1</w:t>
      </w:r>
      <w:r w:rsidR="00526DE5">
        <w:rPr>
          <w:rFonts w:cs="Arial"/>
          <w:szCs w:val="24"/>
        </w:rPr>
        <w:t>76k.</w:t>
      </w:r>
      <w:r w:rsidRPr="00526DE5">
        <w:rPr>
          <w:rFonts w:cs="Arial"/>
          <w:szCs w:val="24"/>
        </w:rPr>
        <w:t xml:space="preserve"> </w:t>
      </w:r>
      <w:r w:rsidR="00526DE5">
        <w:rPr>
          <w:rFonts w:cs="Arial"/>
          <w:szCs w:val="24"/>
        </w:rPr>
        <w:t xml:space="preserve">This has changed from a balanced position at Q1 due to new temporary social worker posts to be funded for a fixed term, funded from the ASC reserve. A balance of £186k is being held on the Directors contingency to mitigate any unplanned pressures arising during the year which cannot </w:t>
      </w:r>
      <w:r w:rsidRPr="00526DE5">
        <w:rPr>
          <w:rFonts w:cs="Arial"/>
          <w:szCs w:val="24"/>
        </w:rPr>
        <w:t>be reduced or eliminated elsewhere across the directorate</w:t>
      </w:r>
    </w:p>
    <w:p w14:paraId="250A1873" w14:textId="198EF05E" w:rsidR="008470E0" w:rsidRDefault="008470E0" w:rsidP="008470E0">
      <w:pPr>
        <w:pStyle w:val="ListParagraph"/>
        <w:ind w:left="460"/>
        <w:jc w:val="both"/>
        <w:rPr>
          <w:rFonts w:cs="Arial"/>
          <w:szCs w:val="24"/>
        </w:rPr>
      </w:pPr>
    </w:p>
    <w:p w14:paraId="5B67E87E" w14:textId="4D02EA3E" w:rsidR="008470E0" w:rsidRDefault="008470E0" w:rsidP="001A2B6C">
      <w:pPr>
        <w:pStyle w:val="ListParagraph"/>
        <w:numPr>
          <w:ilvl w:val="0"/>
          <w:numId w:val="6"/>
        </w:numPr>
        <w:ind w:left="460" w:hanging="567"/>
        <w:jc w:val="both"/>
        <w:rPr>
          <w:rFonts w:cs="Arial"/>
          <w:szCs w:val="24"/>
        </w:rPr>
      </w:pPr>
      <w:r w:rsidRPr="00DF7D8B">
        <w:rPr>
          <w:rFonts w:cs="Arial"/>
          <w:b/>
          <w:bCs/>
          <w:szCs w:val="24"/>
        </w:rPr>
        <w:t>Purchasing</w:t>
      </w:r>
      <w:r w:rsidRPr="00DF7D8B">
        <w:rPr>
          <w:rFonts w:cs="Arial"/>
          <w:szCs w:val="24"/>
        </w:rPr>
        <w:t xml:space="preserve"> – </w:t>
      </w:r>
      <w:r w:rsidR="00DF7D8B" w:rsidRPr="00DF7D8B">
        <w:rPr>
          <w:rFonts w:cs="Arial"/>
          <w:szCs w:val="24"/>
        </w:rPr>
        <w:t>balanced position</w:t>
      </w:r>
      <w:r w:rsidRPr="00DF7D8B">
        <w:rPr>
          <w:rFonts w:cs="Arial"/>
          <w:szCs w:val="24"/>
        </w:rPr>
        <w:t xml:space="preserve">. At </w:t>
      </w:r>
      <w:r w:rsidR="00DF7D8B" w:rsidRPr="00DF7D8B">
        <w:rPr>
          <w:rFonts w:cs="Arial"/>
          <w:szCs w:val="24"/>
        </w:rPr>
        <w:t xml:space="preserve">Q2 </w:t>
      </w:r>
      <w:r w:rsidRPr="00DF7D8B">
        <w:rPr>
          <w:rFonts w:cs="Arial"/>
          <w:szCs w:val="24"/>
        </w:rPr>
        <w:t xml:space="preserve">the reported forecast for purchasing indicates planned activity </w:t>
      </w:r>
      <w:r w:rsidR="00DF7D8B" w:rsidRPr="00DF7D8B">
        <w:rPr>
          <w:rFonts w:cs="Arial"/>
          <w:szCs w:val="24"/>
        </w:rPr>
        <w:t>in line with the allocated budget, requiring no draw down from the ASC reserve</w:t>
      </w:r>
      <w:r w:rsidRPr="00DF7D8B">
        <w:rPr>
          <w:rFonts w:cs="Arial"/>
          <w:szCs w:val="24"/>
        </w:rPr>
        <w:t xml:space="preserve">. </w:t>
      </w:r>
    </w:p>
    <w:p w14:paraId="7138BC0E" w14:textId="77777777" w:rsidR="00DF7D8B" w:rsidRPr="00DF7D8B" w:rsidRDefault="00DF7D8B" w:rsidP="00DF7D8B">
      <w:pPr>
        <w:pStyle w:val="ListParagraph"/>
        <w:rPr>
          <w:rFonts w:cs="Arial"/>
          <w:szCs w:val="24"/>
        </w:rPr>
      </w:pPr>
    </w:p>
    <w:p w14:paraId="03E1319B" w14:textId="54123EC6" w:rsidR="00DF7D8B" w:rsidRDefault="00DF7D8B" w:rsidP="001A2B6C">
      <w:pPr>
        <w:pStyle w:val="ListParagraph"/>
        <w:numPr>
          <w:ilvl w:val="0"/>
          <w:numId w:val="6"/>
        </w:numPr>
        <w:ind w:left="460" w:hanging="567"/>
        <w:jc w:val="both"/>
        <w:rPr>
          <w:rFonts w:cs="Arial"/>
          <w:szCs w:val="24"/>
        </w:rPr>
      </w:pPr>
      <w:r>
        <w:rPr>
          <w:rFonts w:cs="Arial"/>
          <w:szCs w:val="24"/>
        </w:rPr>
        <w:t>The position has improved since Q1 by £1.2</w:t>
      </w:r>
      <w:r w:rsidR="007C7FBB">
        <w:rPr>
          <w:rFonts w:cs="Arial"/>
          <w:szCs w:val="24"/>
        </w:rPr>
        <w:t>55</w:t>
      </w:r>
      <w:r>
        <w:rPr>
          <w:rFonts w:cs="Arial"/>
          <w:szCs w:val="24"/>
        </w:rPr>
        <w:t>m due to:</w:t>
      </w:r>
    </w:p>
    <w:p w14:paraId="7B49DF9F" w14:textId="77777777" w:rsidR="00DF7D8B" w:rsidRPr="00DF7D8B" w:rsidRDefault="00DF7D8B" w:rsidP="00DF7D8B">
      <w:pPr>
        <w:pStyle w:val="ListParagraph"/>
        <w:rPr>
          <w:rFonts w:cs="Arial"/>
          <w:szCs w:val="24"/>
        </w:rPr>
      </w:pPr>
    </w:p>
    <w:p w14:paraId="1003C283" w14:textId="6A35039D" w:rsidR="00DF7D8B" w:rsidRDefault="00DF7D8B" w:rsidP="00DF7D8B">
      <w:pPr>
        <w:pStyle w:val="ListParagraph"/>
        <w:numPr>
          <w:ilvl w:val="1"/>
          <w:numId w:val="6"/>
        </w:numPr>
        <w:ind w:left="1701" w:hanging="567"/>
        <w:jc w:val="both"/>
        <w:rPr>
          <w:rFonts w:cs="Arial"/>
          <w:szCs w:val="24"/>
        </w:rPr>
      </w:pPr>
      <w:r>
        <w:rPr>
          <w:rFonts w:cs="Arial"/>
          <w:szCs w:val="24"/>
        </w:rPr>
        <w:t>Reduction in level of growth by £200k in Children &amp; Young Adults with Disabilities service in terms of number and cost of care packages tha</w:t>
      </w:r>
      <w:r w:rsidR="007C7FBB">
        <w:rPr>
          <w:rFonts w:cs="Arial"/>
          <w:szCs w:val="24"/>
        </w:rPr>
        <w:t>n</w:t>
      </w:r>
      <w:r>
        <w:rPr>
          <w:rFonts w:cs="Arial"/>
          <w:szCs w:val="24"/>
        </w:rPr>
        <w:t xml:space="preserve"> previously forecast</w:t>
      </w:r>
    </w:p>
    <w:p w14:paraId="32CC2AA4" w14:textId="3024EC6A" w:rsidR="00DF7D8B" w:rsidRDefault="00DF7D8B" w:rsidP="00DF7D8B">
      <w:pPr>
        <w:pStyle w:val="ListParagraph"/>
        <w:numPr>
          <w:ilvl w:val="1"/>
          <w:numId w:val="6"/>
        </w:numPr>
        <w:ind w:left="1701" w:hanging="567"/>
        <w:jc w:val="both"/>
        <w:rPr>
          <w:rFonts w:cs="Arial"/>
          <w:szCs w:val="24"/>
        </w:rPr>
      </w:pPr>
      <w:r>
        <w:rPr>
          <w:rFonts w:cs="Arial"/>
          <w:szCs w:val="24"/>
        </w:rPr>
        <w:t>Reduction in the Adults purchasing forecast by £1.055m due to a lower number of care packages per week being set up than forecast in Q1 and a higher number of deaths in the community above budgeted assumptions.</w:t>
      </w:r>
    </w:p>
    <w:p w14:paraId="0EBC59EB" w14:textId="77777777" w:rsidR="00DF7D8B" w:rsidRPr="00DF7D8B" w:rsidRDefault="00DF7D8B" w:rsidP="00DF7D8B">
      <w:pPr>
        <w:pStyle w:val="ListParagraph"/>
        <w:rPr>
          <w:rFonts w:cs="Arial"/>
          <w:szCs w:val="24"/>
        </w:rPr>
      </w:pPr>
    </w:p>
    <w:p w14:paraId="3C4F1BD1" w14:textId="2FE1AB77" w:rsidR="008470E0" w:rsidRDefault="008470E0" w:rsidP="008470E0">
      <w:pPr>
        <w:pStyle w:val="ListParagraph"/>
        <w:numPr>
          <w:ilvl w:val="0"/>
          <w:numId w:val="6"/>
        </w:numPr>
        <w:ind w:left="460" w:hanging="567"/>
        <w:jc w:val="both"/>
        <w:rPr>
          <w:rFonts w:cs="Arial"/>
          <w:szCs w:val="24"/>
        </w:rPr>
      </w:pPr>
      <w:r>
        <w:rPr>
          <w:rFonts w:cs="Arial"/>
          <w:szCs w:val="24"/>
        </w:rPr>
        <w:t>The forecast assumes the following:</w:t>
      </w:r>
    </w:p>
    <w:p w14:paraId="41EAE5EF" w14:textId="77777777" w:rsidR="008470E0" w:rsidRDefault="008470E0" w:rsidP="008470E0">
      <w:pPr>
        <w:pStyle w:val="ListParagraph"/>
        <w:ind w:left="1701"/>
        <w:jc w:val="both"/>
        <w:rPr>
          <w:rFonts w:cs="Arial"/>
          <w:szCs w:val="24"/>
        </w:rPr>
      </w:pPr>
    </w:p>
    <w:p w14:paraId="6B83E6D3" w14:textId="4FD58EBE" w:rsidR="008470E0" w:rsidRDefault="008470E0" w:rsidP="008470E0">
      <w:pPr>
        <w:pStyle w:val="ListParagraph"/>
        <w:numPr>
          <w:ilvl w:val="1"/>
          <w:numId w:val="6"/>
        </w:numPr>
        <w:ind w:left="1701" w:hanging="567"/>
        <w:jc w:val="both"/>
        <w:rPr>
          <w:rFonts w:cs="Arial"/>
          <w:szCs w:val="24"/>
        </w:rPr>
      </w:pPr>
      <w:r>
        <w:rPr>
          <w:rFonts w:cs="Arial"/>
          <w:szCs w:val="24"/>
        </w:rPr>
        <w:t xml:space="preserve">The Discharge to Assess process will continue until the end of </w:t>
      </w:r>
      <w:r w:rsidR="007C7FBB">
        <w:rPr>
          <w:rFonts w:cs="Arial"/>
          <w:szCs w:val="24"/>
        </w:rPr>
        <w:t>the financial year and results in the costs of the first 4 weeks of care being funded by the NHS</w:t>
      </w:r>
    </w:p>
    <w:p w14:paraId="3E3B2729" w14:textId="77777777" w:rsidR="008470E0" w:rsidRDefault="008470E0" w:rsidP="008470E0">
      <w:pPr>
        <w:pStyle w:val="ListParagraph"/>
        <w:ind w:left="1701"/>
        <w:jc w:val="both"/>
        <w:rPr>
          <w:rFonts w:cs="Arial"/>
          <w:szCs w:val="24"/>
        </w:rPr>
      </w:pPr>
    </w:p>
    <w:p w14:paraId="7E5A2921" w14:textId="739AE791" w:rsidR="008470E0" w:rsidRDefault="008470E0" w:rsidP="008470E0">
      <w:pPr>
        <w:pStyle w:val="ListParagraph"/>
        <w:numPr>
          <w:ilvl w:val="1"/>
          <w:numId w:val="6"/>
        </w:numPr>
        <w:ind w:left="1701" w:hanging="567"/>
        <w:jc w:val="both"/>
        <w:rPr>
          <w:rFonts w:cs="Arial"/>
          <w:szCs w:val="24"/>
        </w:rPr>
      </w:pPr>
      <w:r>
        <w:rPr>
          <w:rFonts w:cs="Arial"/>
          <w:szCs w:val="24"/>
        </w:rPr>
        <w:t>15 new care packages per week (11 in the community and 4 in Nursing and Residential). Winter pressures have been assumed for 12 weeks starting from mid-November resulting in a further 2 Nursing Packages a week being required over this period.</w:t>
      </w:r>
      <w:r w:rsidR="007C7FBB">
        <w:rPr>
          <w:rFonts w:cs="Arial"/>
          <w:szCs w:val="24"/>
        </w:rPr>
        <w:t xml:space="preserve"> Evidence suggests that this is overstated as data indicates that 6 months post hospital discharge there is a steep drop off and the ongoing new packages is closer to 11 per week. This will continue to be closely monitored.</w:t>
      </w:r>
    </w:p>
    <w:p w14:paraId="17D7A2F8" w14:textId="77777777" w:rsidR="007C7FBB" w:rsidRPr="007C7FBB" w:rsidRDefault="007C7FBB" w:rsidP="007C7FBB">
      <w:pPr>
        <w:pStyle w:val="ListParagraph"/>
        <w:rPr>
          <w:rFonts w:cs="Arial"/>
          <w:szCs w:val="24"/>
        </w:rPr>
      </w:pPr>
    </w:p>
    <w:p w14:paraId="18B2A103" w14:textId="28793A46" w:rsidR="007C7FBB" w:rsidRDefault="007C7FBB" w:rsidP="008470E0">
      <w:pPr>
        <w:pStyle w:val="ListParagraph"/>
        <w:numPr>
          <w:ilvl w:val="1"/>
          <w:numId w:val="6"/>
        </w:numPr>
        <w:ind w:left="1701" w:hanging="567"/>
        <w:jc w:val="both"/>
        <w:rPr>
          <w:rFonts w:cs="Arial"/>
          <w:szCs w:val="24"/>
        </w:rPr>
      </w:pPr>
      <w:r>
        <w:rPr>
          <w:rFonts w:cs="Arial"/>
          <w:szCs w:val="24"/>
        </w:rPr>
        <w:t>Early indications show that the Three Conversations to social care conversations is returning to pre-pandemic performance at finding alternative solutions and thereby reducing the number of ongoing packages of care, however, this has led to a bottleneck at the front end and continued pressures on staffing.</w:t>
      </w:r>
    </w:p>
    <w:p w14:paraId="63E8E400" w14:textId="77777777" w:rsidR="008470E0" w:rsidRDefault="008470E0" w:rsidP="008470E0">
      <w:pPr>
        <w:pStyle w:val="ListParagraph"/>
        <w:ind w:left="1701"/>
        <w:jc w:val="both"/>
        <w:rPr>
          <w:rFonts w:cs="Arial"/>
          <w:szCs w:val="24"/>
        </w:rPr>
      </w:pPr>
    </w:p>
    <w:p w14:paraId="787FCE81" w14:textId="03BF3BD9" w:rsidR="008470E0" w:rsidRDefault="008470E0" w:rsidP="008470E0">
      <w:pPr>
        <w:pStyle w:val="ListParagraph"/>
        <w:numPr>
          <w:ilvl w:val="1"/>
          <w:numId w:val="6"/>
        </w:numPr>
        <w:ind w:left="1701" w:hanging="567"/>
        <w:jc w:val="both"/>
        <w:rPr>
          <w:rFonts w:cs="Arial"/>
          <w:szCs w:val="24"/>
        </w:rPr>
      </w:pPr>
      <w:r>
        <w:rPr>
          <w:rFonts w:cs="Arial"/>
          <w:szCs w:val="24"/>
        </w:rPr>
        <w:t>A number of CCG commissioned care packages from hospital discharges will transfer to the LA. This is currently estimated at £</w:t>
      </w:r>
      <w:r w:rsidR="007C7FBB">
        <w:rPr>
          <w:rFonts w:cs="Arial"/>
          <w:szCs w:val="24"/>
        </w:rPr>
        <w:t>325</w:t>
      </w:r>
      <w:r>
        <w:rPr>
          <w:rFonts w:cs="Arial"/>
          <w:szCs w:val="24"/>
        </w:rPr>
        <w:t>k however social care reviews will determine any ongoing LA liability</w:t>
      </w:r>
    </w:p>
    <w:p w14:paraId="5A222A64" w14:textId="77777777" w:rsidR="008470E0" w:rsidRDefault="008470E0" w:rsidP="008470E0">
      <w:pPr>
        <w:pStyle w:val="ListParagraph"/>
        <w:ind w:left="1701"/>
        <w:jc w:val="both"/>
        <w:rPr>
          <w:rFonts w:cs="Arial"/>
          <w:szCs w:val="24"/>
        </w:rPr>
      </w:pPr>
    </w:p>
    <w:p w14:paraId="6BC11E29" w14:textId="77777777" w:rsidR="008470E0" w:rsidRDefault="008470E0" w:rsidP="008470E0">
      <w:pPr>
        <w:pStyle w:val="ListParagraph"/>
        <w:numPr>
          <w:ilvl w:val="1"/>
          <w:numId w:val="6"/>
        </w:numPr>
        <w:ind w:left="1701" w:hanging="567"/>
        <w:jc w:val="both"/>
        <w:rPr>
          <w:rFonts w:cs="Arial"/>
          <w:szCs w:val="24"/>
        </w:rPr>
      </w:pPr>
      <w:r>
        <w:rPr>
          <w:rFonts w:cs="Arial"/>
          <w:szCs w:val="24"/>
        </w:rPr>
        <w:t>325 deaths during the year</w:t>
      </w:r>
    </w:p>
    <w:p w14:paraId="6AAEF0F2" w14:textId="77777777" w:rsidR="008470E0" w:rsidRDefault="008470E0" w:rsidP="008470E0">
      <w:pPr>
        <w:pStyle w:val="ListParagraph"/>
        <w:ind w:left="1701"/>
        <w:jc w:val="both"/>
        <w:rPr>
          <w:rFonts w:cs="Arial"/>
          <w:szCs w:val="24"/>
        </w:rPr>
      </w:pPr>
    </w:p>
    <w:p w14:paraId="57785CFF" w14:textId="77777777" w:rsidR="007C7FBB" w:rsidRDefault="007C7FBB" w:rsidP="007C7FBB">
      <w:pPr>
        <w:pStyle w:val="ListParagraph"/>
        <w:numPr>
          <w:ilvl w:val="1"/>
          <w:numId w:val="6"/>
        </w:numPr>
        <w:ind w:left="1701" w:hanging="567"/>
        <w:jc w:val="both"/>
        <w:rPr>
          <w:rFonts w:cs="Arial"/>
          <w:szCs w:val="24"/>
        </w:rPr>
      </w:pPr>
      <w:r>
        <w:rPr>
          <w:rFonts w:cs="Arial"/>
          <w:szCs w:val="24"/>
        </w:rPr>
        <w:lastRenderedPageBreak/>
        <w:t>Approximately £220k of the</w:t>
      </w:r>
      <w:r w:rsidR="008470E0">
        <w:rPr>
          <w:rFonts w:cs="Arial"/>
          <w:szCs w:val="24"/>
        </w:rPr>
        <w:t xml:space="preserve"> £300k MTFS commissioning savings</w:t>
      </w:r>
      <w:r>
        <w:rPr>
          <w:rFonts w:cs="Arial"/>
          <w:szCs w:val="24"/>
        </w:rPr>
        <w:t xml:space="preserve"> have been</w:t>
      </w:r>
      <w:r w:rsidR="008470E0">
        <w:rPr>
          <w:rFonts w:cs="Arial"/>
          <w:szCs w:val="24"/>
        </w:rPr>
        <w:t xml:space="preserve"> achieved</w:t>
      </w:r>
      <w:r>
        <w:rPr>
          <w:rFonts w:cs="Arial"/>
          <w:szCs w:val="24"/>
        </w:rPr>
        <w:t xml:space="preserve"> and the balance is on target to be delivered by year end. The PWC costs of £175k are being funded centrally.</w:t>
      </w:r>
    </w:p>
    <w:p w14:paraId="3F9490C8" w14:textId="77777777" w:rsidR="007C7FBB" w:rsidRPr="007C7FBB" w:rsidRDefault="007C7FBB" w:rsidP="007C7FBB">
      <w:pPr>
        <w:pStyle w:val="ListParagraph"/>
        <w:rPr>
          <w:rFonts w:cs="Arial"/>
          <w:szCs w:val="24"/>
        </w:rPr>
      </w:pPr>
    </w:p>
    <w:p w14:paraId="16BCF46A" w14:textId="3358B089" w:rsidR="00DF7D8B" w:rsidRPr="007C7FBB" w:rsidRDefault="00DF7D8B" w:rsidP="007C7FBB">
      <w:pPr>
        <w:pStyle w:val="ListParagraph"/>
        <w:numPr>
          <w:ilvl w:val="1"/>
          <w:numId w:val="6"/>
        </w:numPr>
        <w:ind w:left="1701" w:hanging="567"/>
        <w:jc w:val="both"/>
        <w:rPr>
          <w:rFonts w:cs="Arial"/>
          <w:szCs w:val="24"/>
        </w:rPr>
      </w:pPr>
      <w:r w:rsidRPr="007C7FBB">
        <w:rPr>
          <w:rFonts w:cs="Arial"/>
          <w:szCs w:val="24"/>
        </w:rPr>
        <w:t>The best-case scenario forecast assumes that the 5.3% BCF uplift is agreed and will reduce placement pressures and that there are no further nursing pressures (beyond the £</w:t>
      </w:r>
      <w:r w:rsidR="007C7FBB">
        <w:rPr>
          <w:rFonts w:cs="Arial"/>
          <w:szCs w:val="24"/>
        </w:rPr>
        <w:t>325k</w:t>
      </w:r>
      <w:r w:rsidRPr="007C7FBB">
        <w:rPr>
          <w:rFonts w:cs="Arial"/>
          <w:szCs w:val="24"/>
        </w:rPr>
        <w:t xml:space="preserve"> assumed) from CCG commissioned placements.</w:t>
      </w:r>
    </w:p>
    <w:p w14:paraId="2AB5EB9B" w14:textId="77777777" w:rsidR="00DF7D8B" w:rsidRPr="00404AC0" w:rsidRDefault="00DF7D8B" w:rsidP="008470E0">
      <w:pPr>
        <w:pStyle w:val="ListParagraph"/>
        <w:rPr>
          <w:rFonts w:cs="Arial"/>
          <w:sz w:val="20"/>
        </w:rPr>
      </w:pPr>
    </w:p>
    <w:p w14:paraId="5B62781A" w14:textId="77777777" w:rsidR="008470E0" w:rsidRDefault="008470E0" w:rsidP="008470E0">
      <w:pPr>
        <w:pStyle w:val="ListParagraph"/>
        <w:rPr>
          <w:rFonts w:cs="Arial"/>
          <w:sz w:val="20"/>
        </w:rPr>
      </w:pPr>
    </w:p>
    <w:p w14:paraId="6BA671BB" w14:textId="181C795F" w:rsidR="008470E0" w:rsidRDefault="008470E0" w:rsidP="008470E0">
      <w:pPr>
        <w:pStyle w:val="ListParagraph"/>
        <w:numPr>
          <w:ilvl w:val="0"/>
          <w:numId w:val="6"/>
        </w:numPr>
        <w:ind w:left="460" w:hanging="567"/>
        <w:jc w:val="both"/>
        <w:rPr>
          <w:rFonts w:cs="Arial"/>
          <w:szCs w:val="24"/>
        </w:rPr>
      </w:pPr>
      <w:r w:rsidRPr="009925EE">
        <w:rPr>
          <w:rFonts w:cs="Arial"/>
          <w:b/>
          <w:bCs/>
          <w:szCs w:val="24"/>
        </w:rPr>
        <w:t>Mental Health</w:t>
      </w:r>
      <w:r>
        <w:rPr>
          <w:rFonts w:cs="Arial"/>
          <w:szCs w:val="24"/>
        </w:rPr>
        <w:t xml:space="preserve"> – balanced budget. </w:t>
      </w:r>
      <w:r w:rsidR="00B84BB2">
        <w:rPr>
          <w:rFonts w:cs="Arial"/>
          <w:szCs w:val="24"/>
        </w:rPr>
        <w:t>This assumes forecast savings of £627k as part of the S75 overspend recovery plan will be achieved. The position is being closely monitored and reviewed through the S75 governance process.</w:t>
      </w:r>
    </w:p>
    <w:p w14:paraId="6B660F89" w14:textId="77777777" w:rsidR="008470E0" w:rsidRDefault="008470E0" w:rsidP="008470E0">
      <w:pPr>
        <w:pStyle w:val="ListParagraph"/>
        <w:ind w:left="460"/>
        <w:jc w:val="both"/>
        <w:rPr>
          <w:rFonts w:cs="Arial"/>
          <w:szCs w:val="24"/>
        </w:rPr>
      </w:pPr>
    </w:p>
    <w:p w14:paraId="456EFDAB" w14:textId="5E8C696C" w:rsidR="008470E0" w:rsidRDefault="008470E0" w:rsidP="008470E0">
      <w:pPr>
        <w:pStyle w:val="ListParagraph"/>
        <w:numPr>
          <w:ilvl w:val="0"/>
          <w:numId w:val="6"/>
        </w:numPr>
        <w:ind w:left="460" w:hanging="567"/>
        <w:jc w:val="both"/>
        <w:rPr>
          <w:rFonts w:cs="Arial"/>
          <w:szCs w:val="24"/>
        </w:rPr>
      </w:pPr>
      <w:r w:rsidRPr="009925EE">
        <w:rPr>
          <w:rFonts w:cs="Arial"/>
          <w:b/>
          <w:bCs/>
          <w:szCs w:val="24"/>
        </w:rPr>
        <w:t>Other Adults</w:t>
      </w:r>
      <w:r>
        <w:rPr>
          <w:rFonts w:cs="Arial"/>
          <w:szCs w:val="24"/>
        </w:rPr>
        <w:t xml:space="preserve"> – </w:t>
      </w:r>
      <w:r w:rsidR="00B84BB2">
        <w:rPr>
          <w:rFonts w:cs="Arial"/>
          <w:szCs w:val="24"/>
        </w:rPr>
        <w:t>balanced budget</w:t>
      </w:r>
      <w:r>
        <w:rPr>
          <w:rFonts w:cs="Arial"/>
          <w:szCs w:val="24"/>
        </w:rPr>
        <w:t xml:space="preserve">. </w:t>
      </w:r>
      <w:r w:rsidR="00B84BB2">
        <w:rPr>
          <w:rFonts w:cs="Arial"/>
          <w:szCs w:val="24"/>
        </w:rPr>
        <w:t>This position has worsened since Q1 by £80k due to assumptions around the use of corporate reserves changing, as well as an increase in the Occupational Therapists staffing forecast.</w:t>
      </w:r>
    </w:p>
    <w:p w14:paraId="4E066F8C" w14:textId="77777777" w:rsidR="008470E0" w:rsidRDefault="008470E0" w:rsidP="008470E0">
      <w:pPr>
        <w:pStyle w:val="ListParagraph"/>
        <w:ind w:left="460"/>
        <w:jc w:val="both"/>
        <w:rPr>
          <w:rFonts w:cs="Arial"/>
          <w:szCs w:val="24"/>
        </w:rPr>
      </w:pPr>
    </w:p>
    <w:p w14:paraId="67F2334F" w14:textId="66369771" w:rsidR="008470E0" w:rsidRDefault="008470E0" w:rsidP="008470E0">
      <w:pPr>
        <w:pStyle w:val="ListParagraph"/>
        <w:numPr>
          <w:ilvl w:val="0"/>
          <w:numId w:val="6"/>
        </w:numPr>
        <w:ind w:left="460" w:hanging="567"/>
        <w:jc w:val="both"/>
        <w:rPr>
          <w:rFonts w:cs="Arial"/>
          <w:szCs w:val="24"/>
        </w:rPr>
      </w:pPr>
      <w:r w:rsidRPr="009925EE">
        <w:rPr>
          <w:rFonts w:cs="Arial"/>
          <w:b/>
          <w:bCs/>
          <w:szCs w:val="24"/>
        </w:rPr>
        <w:t>In-House Services</w:t>
      </w:r>
      <w:r>
        <w:rPr>
          <w:rFonts w:cs="Arial"/>
          <w:szCs w:val="24"/>
        </w:rPr>
        <w:t xml:space="preserve"> – net underspend £</w:t>
      </w:r>
      <w:r w:rsidR="00B84BB2">
        <w:rPr>
          <w:rFonts w:cs="Arial"/>
          <w:szCs w:val="24"/>
        </w:rPr>
        <w:t>331</w:t>
      </w:r>
      <w:r>
        <w:rPr>
          <w:rFonts w:cs="Arial"/>
          <w:szCs w:val="24"/>
        </w:rPr>
        <w:t>k. This is due to the phased opening of day care largely in relation to the budgeted costs of agency staff which enables the loss of income at Wiseworks to be mitigated.</w:t>
      </w:r>
      <w:r w:rsidR="00B84BB2">
        <w:rPr>
          <w:rFonts w:cs="Arial"/>
          <w:szCs w:val="24"/>
        </w:rPr>
        <w:t xml:space="preserve"> This underspend has increased by £242k since Q1 due to delays in re-opening the day centres, leading to lower agency staff and transport costs.</w:t>
      </w:r>
    </w:p>
    <w:p w14:paraId="1D3DF77F" w14:textId="77777777" w:rsidR="00B84BB2" w:rsidRPr="00B84BB2" w:rsidRDefault="00B84BB2" w:rsidP="00B84BB2">
      <w:pPr>
        <w:pStyle w:val="ListParagraph"/>
        <w:rPr>
          <w:rFonts w:cs="Arial"/>
          <w:szCs w:val="24"/>
        </w:rPr>
      </w:pPr>
    </w:p>
    <w:p w14:paraId="575CC6A8" w14:textId="088E9153" w:rsidR="00B84BB2" w:rsidRDefault="00B84BB2" w:rsidP="008470E0">
      <w:pPr>
        <w:pStyle w:val="ListParagraph"/>
        <w:numPr>
          <w:ilvl w:val="0"/>
          <w:numId w:val="6"/>
        </w:numPr>
        <w:ind w:left="460" w:hanging="567"/>
        <w:jc w:val="both"/>
        <w:rPr>
          <w:rFonts w:cs="Arial"/>
          <w:szCs w:val="24"/>
        </w:rPr>
      </w:pPr>
      <w:r>
        <w:rPr>
          <w:rFonts w:cs="Arial"/>
          <w:szCs w:val="24"/>
        </w:rPr>
        <w:t xml:space="preserve">ASC Reserve – the 2020/21 outturn enabled reserves to be set aside for </w:t>
      </w:r>
      <w:proofErr w:type="gramStart"/>
      <w:r>
        <w:rPr>
          <w:rFonts w:cs="Arial"/>
          <w:szCs w:val="24"/>
        </w:rPr>
        <w:t>adults</w:t>
      </w:r>
      <w:proofErr w:type="gramEnd"/>
      <w:r>
        <w:rPr>
          <w:rFonts w:cs="Arial"/>
          <w:szCs w:val="24"/>
        </w:rPr>
        <w:t xml:space="preserve"> social care to be carried forward to 2021/22, totalling £1.921m. It is anticipated that this will not need to be drawn down this financial year.</w:t>
      </w:r>
    </w:p>
    <w:p w14:paraId="51A75BA7" w14:textId="3F1D7D6C" w:rsidR="008470E0" w:rsidRDefault="008470E0" w:rsidP="008470E0">
      <w:pPr>
        <w:pStyle w:val="ListParagraph"/>
        <w:rPr>
          <w:rFonts w:cs="Arial"/>
          <w:b/>
          <w:bCs/>
          <w:sz w:val="20"/>
          <w:u w:val="single"/>
        </w:rPr>
      </w:pPr>
    </w:p>
    <w:p w14:paraId="68019FA6" w14:textId="77777777" w:rsidR="00B84BB2" w:rsidRPr="00247FED" w:rsidRDefault="00B84BB2" w:rsidP="00B84BB2">
      <w:pPr>
        <w:pStyle w:val="ListParagraph"/>
        <w:rPr>
          <w:rFonts w:cs="Arial"/>
          <w:sz w:val="20"/>
        </w:rPr>
      </w:pPr>
    </w:p>
    <w:p w14:paraId="1C73FC79" w14:textId="77777777" w:rsidR="008470E0" w:rsidRDefault="008470E0" w:rsidP="008470E0">
      <w:pPr>
        <w:rPr>
          <w:rFonts w:cs="Arial"/>
          <w:b/>
          <w:bCs/>
        </w:rPr>
      </w:pPr>
      <w:r w:rsidRPr="002656C8">
        <w:rPr>
          <w:rFonts w:cs="Arial"/>
          <w:b/>
          <w:bCs/>
        </w:rPr>
        <w:t>Public Health</w:t>
      </w:r>
    </w:p>
    <w:p w14:paraId="28A96987" w14:textId="77777777" w:rsidR="008470E0" w:rsidRDefault="008470E0" w:rsidP="008470E0">
      <w:pPr>
        <w:rPr>
          <w:rFonts w:cs="Arial"/>
          <w:b/>
          <w:bCs/>
        </w:rPr>
      </w:pPr>
    </w:p>
    <w:p w14:paraId="06422308" w14:textId="7B3C3A03" w:rsidR="008470E0" w:rsidRPr="000567B6" w:rsidRDefault="008470E0" w:rsidP="008470E0">
      <w:pPr>
        <w:pStyle w:val="ListParagraph"/>
        <w:numPr>
          <w:ilvl w:val="0"/>
          <w:numId w:val="6"/>
        </w:numPr>
        <w:ind w:left="460" w:hanging="567"/>
        <w:jc w:val="both"/>
        <w:rPr>
          <w:rFonts w:cs="Arial"/>
          <w:b/>
        </w:rPr>
      </w:pPr>
      <w:r>
        <w:rPr>
          <w:rFonts w:eastAsia="Calibri" w:cs="Arial"/>
        </w:rPr>
        <w:t>As at Q</w:t>
      </w:r>
      <w:r w:rsidR="008C5765">
        <w:rPr>
          <w:rFonts w:eastAsia="Calibri" w:cs="Arial"/>
        </w:rPr>
        <w:t>2</w:t>
      </w:r>
      <w:r>
        <w:rPr>
          <w:rFonts w:eastAsia="Calibri" w:cs="Arial"/>
        </w:rPr>
        <w:t xml:space="preserve"> Public </w:t>
      </w:r>
      <w:r w:rsidRPr="00EA30B3">
        <w:rPr>
          <w:rFonts w:cs="Arial"/>
        </w:rPr>
        <w:t xml:space="preserve">Health </w:t>
      </w:r>
      <w:r>
        <w:rPr>
          <w:rFonts w:cs="Arial"/>
        </w:rPr>
        <w:t xml:space="preserve">(PH) </w:t>
      </w:r>
      <w:r w:rsidRPr="00EA30B3">
        <w:rPr>
          <w:rFonts w:cs="Arial"/>
        </w:rPr>
        <w:t xml:space="preserve">is reporting </w:t>
      </w:r>
      <w:r>
        <w:rPr>
          <w:rFonts w:cs="Arial"/>
        </w:rPr>
        <w:t>an overspend of £</w:t>
      </w:r>
      <w:r w:rsidR="008C5765">
        <w:rPr>
          <w:rFonts w:cs="Arial"/>
        </w:rPr>
        <w:t>128</w:t>
      </w:r>
      <w:r>
        <w:rPr>
          <w:rFonts w:cs="Arial"/>
        </w:rPr>
        <w:t>k</w:t>
      </w:r>
      <w:r w:rsidR="008C5765">
        <w:rPr>
          <w:rFonts w:cs="Arial"/>
        </w:rPr>
        <w:t xml:space="preserve"> related to wider health projects. The position has improved since Q1 by £194k due to increase in underspends in the sexual health service (on the CNWL contract), an underspend on the agenda for change budget of £76k and a staffing underspend caused by delay in recruitment of staffing allowing for the service not to use the grant uplift to offset staffing costs.</w:t>
      </w:r>
      <w:r>
        <w:rPr>
          <w:rFonts w:cs="Arial"/>
        </w:rPr>
        <w:t xml:space="preserve"> </w:t>
      </w:r>
      <w:r w:rsidR="008C5765">
        <w:rPr>
          <w:rFonts w:cs="Arial"/>
        </w:rPr>
        <w:t xml:space="preserve"> The overspend </w:t>
      </w:r>
      <w:proofErr w:type="gramStart"/>
      <w:r w:rsidR="008C5765">
        <w:rPr>
          <w:rFonts w:cs="Arial"/>
        </w:rPr>
        <w:t xml:space="preserve">will </w:t>
      </w:r>
      <w:r>
        <w:rPr>
          <w:rFonts w:cs="Arial"/>
        </w:rPr>
        <w:t xml:space="preserve"> be</w:t>
      </w:r>
      <w:proofErr w:type="gramEnd"/>
      <w:r>
        <w:rPr>
          <w:rFonts w:cs="Arial"/>
        </w:rPr>
        <w:t xml:space="preserve"> managed through a draw down from the PH reserve. There are ongoing projects which are being funded through reserves including the Dementia Hub, ADHD &amp; Autism, Ridgeway Project and PNA assessment which is cyclical and has been delayed from 2020/21</w:t>
      </w:r>
      <w:r w:rsidR="008C5765">
        <w:rPr>
          <w:rFonts w:cs="Arial"/>
        </w:rPr>
        <w:t xml:space="preserve"> as well as the funding of October half term free school meals</w:t>
      </w:r>
      <w:r>
        <w:rPr>
          <w:rFonts w:cs="Arial"/>
        </w:rPr>
        <w:t>.</w:t>
      </w:r>
    </w:p>
    <w:p w14:paraId="2286A05A" w14:textId="77777777" w:rsidR="008C5765" w:rsidRDefault="008C5765" w:rsidP="008470E0">
      <w:pPr>
        <w:jc w:val="both"/>
        <w:rPr>
          <w:rFonts w:cs="Arial"/>
          <w:b/>
        </w:rPr>
      </w:pPr>
    </w:p>
    <w:p w14:paraId="5C49B0AA" w14:textId="3785C941" w:rsidR="008470E0" w:rsidRPr="000567B6" w:rsidRDefault="008470E0" w:rsidP="008470E0">
      <w:pPr>
        <w:jc w:val="both"/>
        <w:rPr>
          <w:rFonts w:cs="Arial"/>
          <w:b/>
        </w:rPr>
      </w:pPr>
      <w:r w:rsidRPr="000567B6">
        <w:rPr>
          <w:rFonts w:cs="Arial"/>
          <w:b/>
        </w:rPr>
        <w:t>Children’s Services</w:t>
      </w:r>
    </w:p>
    <w:p w14:paraId="120B5F2C" w14:textId="77777777" w:rsidR="008470E0" w:rsidRPr="00EA30B3" w:rsidRDefault="008470E0" w:rsidP="008470E0">
      <w:pPr>
        <w:pStyle w:val="ListParagraph"/>
        <w:rPr>
          <w:rFonts w:eastAsia="Calibri" w:cs="Arial"/>
        </w:rPr>
      </w:pPr>
    </w:p>
    <w:bookmarkEnd w:id="4"/>
    <w:p w14:paraId="594EE6A9" w14:textId="67F01B6F" w:rsidR="008470E0" w:rsidRPr="0014350A" w:rsidRDefault="008470E0" w:rsidP="008470E0">
      <w:pPr>
        <w:pStyle w:val="ListParagraph"/>
        <w:numPr>
          <w:ilvl w:val="0"/>
          <w:numId w:val="6"/>
        </w:numPr>
        <w:ind w:left="460" w:hanging="567"/>
        <w:jc w:val="both"/>
        <w:rPr>
          <w:rFonts w:cs="Arial"/>
          <w:b/>
          <w:bCs/>
        </w:rPr>
      </w:pPr>
      <w:r>
        <w:rPr>
          <w:rFonts w:eastAsia="Calibri" w:cs="Arial"/>
        </w:rPr>
        <w:t>As at Q</w:t>
      </w:r>
      <w:r w:rsidR="00076EAA">
        <w:rPr>
          <w:rFonts w:eastAsia="Calibri" w:cs="Arial"/>
        </w:rPr>
        <w:t>2</w:t>
      </w:r>
      <w:r>
        <w:rPr>
          <w:rFonts w:eastAsia="Calibri" w:cs="Arial"/>
        </w:rPr>
        <w:t xml:space="preserve"> Children’s Services is reporting a net overspend of £</w:t>
      </w:r>
      <w:r w:rsidR="00076EAA">
        <w:rPr>
          <w:rFonts w:eastAsia="Calibri" w:cs="Arial"/>
        </w:rPr>
        <w:t>1.564</w:t>
      </w:r>
      <w:r>
        <w:rPr>
          <w:rFonts w:eastAsia="Calibri" w:cs="Arial"/>
        </w:rPr>
        <w:t xml:space="preserve">m after </w:t>
      </w:r>
      <w:proofErr w:type="gramStart"/>
      <w:r>
        <w:rPr>
          <w:rFonts w:eastAsia="Calibri" w:cs="Arial"/>
        </w:rPr>
        <w:t>draw</w:t>
      </w:r>
      <w:proofErr w:type="gramEnd"/>
      <w:r>
        <w:rPr>
          <w:rFonts w:eastAsia="Calibri" w:cs="Arial"/>
        </w:rPr>
        <w:t xml:space="preserve"> down from reserves. </w:t>
      </w:r>
      <w:r w:rsidR="00076EAA">
        <w:rPr>
          <w:rFonts w:eastAsia="Calibri" w:cs="Arial"/>
        </w:rPr>
        <w:t>This has reduced by £301k since Q1 largely due to reduction of pressures in SEN Transport as the new routes for the 2021/22 academic year have been finalised.</w:t>
      </w:r>
    </w:p>
    <w:p w14:paraId="42F3CCC4" w14:textId="77777777" w:rsidR="008470E0" w:rsidRPr="0014350A" w:rsidRDefault="008470E0" w:rsidP="008470E0">
      <w:pPr>
        <w:pStyle w:val="ListParagraph"/>
        <w:ind w:left="460"/>
        <w:jc w:val="both"/>
        <w:rPr>
          <w:rFonts w:cs="Arial"/>
          <w:b/>
          <w:bCs/>
        </w:rPr>
      </w:pPr>
    </w:p>
    <w:p w14:paraId="1E036035" w14:textId="2A361CE9" w:rsidR="008470E0" w:rsidRPr="0014350A" w:rsidRDefault="008470E0" w:rsidP="008470E0">
      <w:pPr>
        <w:pStyle w:val="ListParagraph"/>
        <w:numPr>
          <w:ilvl w:val="0"/>
          <w:numId w:val="6"/>
        </w:numPr>
        <w:ind w:left="460" w:hanging="567"/>
        <w:jc w:val="both"/>
        <w:rPr>
          <w:rFonts w:cs="Arial"/>
          <w:b/>
          <w:bCs/>
        </w:rPr>
      </w:pPr>
      <w:r>
        <w:rPr>
          <w:rFonts w:eastAsia="Calibri" w:cs="Arial"/>
        </w:rPr>
        <w:lastRenderedPageBreak/>
        <w:t>The headline pressure across the directorate is £</w:t>
      </w:r>
      <w:r w:rsidR="00076EAA">
        <w:rPr>
          <w:rFonts w:eastAsia="Calibri" w:cs="Arial"/>
        </w:rPr>
        <w:t>4.963</w:t>
      </w:r>
      <w:r>
        <w:rPr>
          <w:rFonts w:eastAsia="Calibri" w:cs="Arial"/>
        </w:rPr>
        <w:t>m with mitigating managements actions of £</w:t>
      </w:r>
      <w:r w:rsidR="00076EAA">
        <w:rPr>
          <w:rFonts w:eastAsia="Calibri" w:cs="Arial"/>
        </w:rPr>
        <w:t>901</w:t>
      </w:r>
      <w:r>
        <w:rPr>
          <w:rFonts w:eastAsia="Calibri" w:cs="Arial"/>
        </w:rPr>
        <w:t>k and £2.</w:t>
      </w:r>
      <w:r w:rsidR="00076EAA">
        <w:rPr>
          <w:rFonts w:eastAsia="Calibri" w:cs="Arial"/>
        </w:rPr>
        <w:t>498</w:t>
      </w:r>
      <w:r>
        <w:rPr>
          <w:rFonts w:eastAsia="Calibri" w:cs="Arial"/>
        </w:rPr>
        <w:t>m draw down from reserves. It should be noted that these</w:t>
      </w:r>
      <w:r w:rsidR="00076EAA">
        <w:rPr>
          <w:rFonts w:eastAsia="Calibri" w:cs="Arial"/>
        </w:rPr>
        <w:t xml:space="preserve"> £627k of these</w:t>
      </w:r>
      <w:r>
        <w:rPr>
          <w:rFonts w:eastAsia="Calibri" w:cs="Arial"/>
        </w:rPr>
        <w:t xml:space="preserve"> management actions are one off and will not be available in future years.</w:t>
      </w:r>
    </w:p>
    <w:p w14:paraId="028EA567" w14:textId="77777777" w:rsidR="008470E0" w:rsidRPr="0014350A" w:rsidRDefault="008470E0" w:rsidP="008470E0">
      <w:pPr>
        <w:pStyle w:val="ListParagraph"/>
        <w:ind w:left="460"/>
        <w:jc w:val="both"/>
        <w:rPr>
          <w:rFonts w:cs="Arial"/>
          <w:b/>
          <w:bCs/>
        </w:rPr>
      </w:pPr>
    </w:p>
    <w:p w14:paraId="356C1338" w14:textId="77777777" w:rsidR="008470E0" w:rsidRPr="00F00CD9" w:rsidRDefault="008470E0" w:rsidP="008470E0">
      <w:pPr>
        <w:pStyle w:val="ListParagraph"/>
        <w:numPr>
          <w:ilvl w:val="0"/>
          <w:numId w:val="6"/>
        </w:numPr>
        <w:ind w:left="460" w:hanging="567"/>
        <w:jc w:val="both"/>
        <w:rPr>
          <w:rFonts w:cs="Arial"/>
          <w:b/>
          <w:bCs/>
        </w:rPr>
      </w:pPr>
      <w:r>
        <w:rPr>
          <w:rFonts w:eastAsia="Calibri" w:cs="Arial"/>
        </w:rPr>
        <w:t>The 2021/22 budget has increased by £1.226m through the MTFS to support anticipated growth in placements &amp; accommodation and frontline staffing which is partially offset by a reversal of savings of £410k no longer achievable taking the net growth to £816k. There was also growth of £777k for SEN Transport to manage increased demand and costs.</w:t>
      </w:r>
    </w:p>
    <w:p w14:paraId="0E2A2B08" w14:textId="77777777" w:rsidR="008470E0" w:rsidRPr="00F00CD9" w:rsidRDefault="008470E0" w:rsidP="008470E0">
      <w:pPr>
        <w:pStyle w:val="ListParagraph"/>
        <w:rPr>
          <w:rFonts w:cs="Arial"/>
          <w:b/>
        </w:rPr>
      </w:pPr>
    </w:p>
    <w:p w14:paraId="02C19AAA" w14:textId="6F1337BE" w:rsidR="008470E0" w:rsidRPr="00F00CD9" w:rsidRDefault="008470E0" w:rsidP="008470E0">
      <w:pPr>
        <w:pStyle w:val="ListParagraph"/>
        <w:numPr>
          <w:ilvl w:val="0"/>
          <w:numId w:val="6"/>
        </w:numPr>
        <w:ind w:left="460" w:hanging="567"/>
        <w:jc w:val="both"/>
        <w:rPr>
          <w:rFonts w:cs="Arial"/>
          <w:b/>
          <w:bCs/>
        </w:rPr>
      </w:pPr>
      <w:r w:rsidRPr="00F00CD9">
        <w:rPr>
          <w:rFonts w:cs="Arial"/>
          <w:b/>
        </w:rPr>
        <w:t>Frontline Teams Staffing &amp; Other Cost</w:t>
      </w:r>
      <w:r>
        <w:rPr>
          <w:rFonts w:cs="Arial"/>
          <w:b/>
        </w:rPr>
        <w:t xml:space="preserve">s </w:t>
      </w:r>
      <w:r w:rsidRPr="00F00CD9">
        <w:rPr>
          <w:rFonts w:cs="Arial"/>
          <w:bCs/>
        </w:rPr>
        <w:t>– net overspend £1</w:t>
      </w:r>
      <w:r w:rsidR="00076EAA">
        <w:rPr>
          <w:rFonts w:cs="Arial"/>
          <w:bCs/>
        </w:rPr>
        <w:t>.504</w:t>
      </w:r>
      <w:r w:rsidRPr="00F00CD9">
        <w:rPr>
          <w:rFonts w:cs="Arial"/>
          <w:bCs/>
        </w:rPr>
        <w:t>m.</w:t>
      </w:r>
      <w:r>
        <w:rPr>
          <w:rFonts w:cs="Arial"/>
          <w:b/>
        </w:rPr>
        <w:t xml:space="preserve"> </w:t>
      </w:r>
      <w:r>
        <w:rPr>
          <w:rFonts w:cs="Arial"/>
          <w:bCs/>
        </w:rPr>
        <w:t>In order to m</w:t>
      </w:r>
      <w:r w:rsidRPr="00F00CD9">
        <w:rPr>
          <w:rFonts w:cs="Arial"/>
        </w:rPr>
        <w:t>anage caseloads agency staff are required to cover vacant social work posts, including sickness and maternity cover. There are around 2</w:t>
      </w:r>
      <w:r w:rsidR="00076EAA">
        <w:rPr>
          <w:rFonts w:cs="Arial"/>
        </w:rPr>
        <w:t>5</w:t>
      </w:r>
      <w:r w:rsidRPr="00F00CD9">
        <w:rPr>
          <w:rFonts w:cs="Arial"/>
        </w:rPr>
        <w:t xml:space="preserve">% of frontline posts which are covered by agency as well as increased ‘As and when’ workers to provide statutory supervised contact sessions. It has been necessary to recruit agency super numerate social workers </w:t>
      </w:r>
      <w:r>
        <w:rPr>
          <w:rFonts w:cs="Arial"/>
        </w:rPr>
        <w:t>in frontline teams</w:t>
      </w:r>
      <w:r w:rsidRPr="00F00CD9">
        <w:rPr>
          <w:rFonts w:cs="Arial"/>
        </w:rPr>
        <w:t xml:space="preserve"> to help manage increasing referrals and caseloads. </w:t>
      </w:r>
    </w:p>
    <w:p w14:paraId="58572D8B" w14:textId="77777777" w:rsidR="008470E0" w:rsidRPr="00F00CD9" w:rsidRDefault="008470E0" w:rsidP="008470E0">
      <w:pPr>
        <w:pStyle w:val="ListParagraph"/>
        <w:rPr>
          <w:rFonts w:cs="Arial"/>
          <w:b/>
        </w:rPr>
      </w:pPr>
    </w:p>
    <w:p w14:paraId="237B19C6" w14:textId="29A22AD6" w:rsidR="008470E0" w:rsidRDefault="008470E0" w:rsidP="008470E0">
      <w:pPr>
        <w:pStyle w:val="ListParagraph"/>
        <w:numPr>
          <w:ilvl w:val="0"/>
          <w:numId w:val="6"/>
        </w:numPr>
        <w:ind w:left="460" w:hanging="567"/>
        <w:jc w:val="both"/>
        <w:rPr>
          <w:rFonts w:cs="Arial"/>
          <w:bCs/>
        </w:rPr>
      </w:pPr>
      <w:r w:rsidRPr="00F00CD9">
        <w:rPr>
          <w:rFonts w:cs="Arial"/>
          <w:b/>
        </w:rPr>
        <w:t>Children’s Placements &amp; Accommodation</w:t>
      </w:r>
      <w:r>
        <w:rPr>
          <w:rFonts w:cs="Arial"/>
          <w:bCs/>
        </w:rPr>
        <w:t xml:space="preserve"> – net </w:t>
      </w:r>
      <w:r w:rsidRPr="00F00CD9">
        <w:rPr>
          <w:rFonts w:cs="Arial"/>
          <w:bCs/>
        </w:rPr>
        <w:t>overspend £2.</w:t>
      </w:r>
      <w:r w:rsidR="00076EAA">
        <w:rPr>
          <w:rFonts w:cs="Arial"/>
          <w:bCs/>
        </w:rPr>
        <w:t>384</w:t>
      </w:r>
      <w:r w:rsidRPr="00F00CD9">
        <w:rPr>
          <w:rFonts w:cs="Arial"/>
          <w:bCs/>
        </w:rPr>
        <w:t>m</w:t>
      </w:r>
    </w:p>
    <w:p w14:paraId="4498771A" w14:textId="77777777" w:rsidR="008470E0" w:rsidRPr="00F00CD9" w:rsidRDefault="008470E0" w:rsidP="008470E0">
      <w:pPr>
        <w:pStyle w:val="ListParagraph"/>
        <w:rPr>
          <w:rFonts w:cs="Arial"/>
        </w:rPr>
      </w:pPr>
    </w:p>
    <w:p w14:paraId="281E06CD" w14:textId="77777777" w:rsidR="008470E0" w:rsidRPr="00F00CD9" w:rsidRDefault="008470E0" w:rsidP="008470E0">
      <w:pPr>
        <w:pStyle w:val="ListParagraph"/>
        <w:numPr>
          <w:ilvl w:val="0"/>
          <w:numId w:val="6"/>
        </w:numPr>
        <w:ind w:left="460" w:hanging="567"/>
        <w:jc w:val="both"/>
        <w:rPr>
          <w:rFonts w:cs="Arial"/>
          <w:bCs/>
        </w:rPr>
      </w:pPr>
      <w:r w:rsidRPr="00F00CD9">
        <w:rPr>
          <w:rFonts w:cs="Arial"/>
        </w:rPr>
        <w:t>In 2020</w:t>
      </w:r>
      <w:r>
        <w:rPr>
          <w:rFonts w:cs="Arial"/>
        </w:rPr>
        <w:t>/</w:t>
      </w:r>
      <w:r w:rsidRPr="00F00CD9">
        <w:rPr>
          <w:rFonts w:cs="Arial"/>
        </w:rPr>
        <w:t xml:space="preserve">21 spend in these areas significantly increased compared with average spend in the previous two years. Largely this was attributed to </w:t>
      </w:r>
      <w:r>
        <w:rPr>
          <w:rFonts w:cs="Arial"/>
        </w:rPr>
        <w:t>Covid-19</w:t>
      </w:r>
      <w:r w:rsidRPr="00F00CD9">
        <w:rPr>
          <w:rFonts w:cs="Arial"/>
        </w:rPr>
        <w:t xml:space="preserve"> however it is difficult to accurately work out exactly which costs are </w:t>
      </w:r>
      <w:r>
        <w:rPr>
          <w:rFonts w:cs="Arial"/>
        </w:rPr>
        <w:t>Covid-19</w:t>
      </w:r>
      <w:r w:rsidRPr="00F00CD9">
        <w:rPr>
          <w:rFonts w:cs="Arial"/>
        </w:rPr>
        <w:t xml:space="preserve"> related and which are due to other demographic changes. Throughout 2020-21 the number of Children Looked After peaked at 207 in August 2020 compared to previous averages of around 170. </w:t>
      </w:r>
    </w:p>
    <w:p w14:paraId="22F79E99" w14:textId="77777777" w:rsidR="008470E0" w:rsidRPr="00F00CD9" w:rsidRDefault="008470E0" w:rsidP="008470E0">
      <w:pPr>
        <w:pStyle w:val="ListParagraph"/>
        <w:rPr>
          <w:rFonts w:cs="Arial"/>
        </w:rPr>
      </w:pPr>
    </w:p>
    <w:p w14:paraId="108C08EF" w14:textId="77777777" w:rsidR="008470E0" w:rsidRPr="00F00CD9" w:rsidRDefault="008470E0" w:rsidP="008470E0">
      <w:pPr>
        <w:pStyle w:val="ListParagraph"/>
        <w:numPr>
          <w:ilvl w:val="0"/>
          <w:numId w:val="6"/>
        </w:numPr>
        <w:ind w:left="460" w:hanging="567"/>
        <w:jc w:val="both"/>
        <w:rPr>
          <w:rFonts w:cs="Arial"/>
          <w:bCs/>
        </w:rPr>
      </w:pPr>
      <w:r w:rsidRPr="00F00CD9">
        <w:rPr>
          <w:rFonts w:cs="Arial"/>
        </w:rPr>
        <w:t>The current number of CLA is back down to around 170 however the number of young people currently accommodated have significant and complex needs which in some cases require expensive residential provision.</w:t>
      </w:r>
    </w:p>
    <w:p w14:paraId="673F78E3" w14:textId="77777777" w:rsidR="008470E0" w:rsidRPr="00F00CD9" w:rsidRDefault="008470E0" w:rsidP="008470E0">
      <w:pPr>
        <w:pStyle w:val="ListParagraph"/>
        <w:rPr>
          <w:rFonts w:cs="Arial"/>
        </w:rPr>
      </w:pPr>
    </w:p>
    <w:p w14:paraId="090D81EC" w14:textId="77777777" w:rsidR="008470E0" w:rsidRPr="00F00CD9" w:rsidRDefault="008470E0" w:rsidP="008470E0">
      <w:pPr>
        <w:pStyle w:val="ListParagraph"/>
        <w:numPr>
          <w:ilvl w:val="0"/>
          <w:numId w:val="6"/>
        </w:numPr>
        <w:ind w:left="460" w:hanging="567"/>
        <w:jc w:val="both"/>
        <w:rPr>
          <w:rFonts w:cs="Arial"/>
          <w:bCs/>
        </w:rPr>
      </w:pPr>
      <w:r w:rsidRPr="00F00CD9">
        <w:rPr>
          <w:rFonts w:cs="Arial"/>
        </w:rPr>
        <w:t>There are regular resource tracking and monitoring panels to ensure the level of accommodation and cost continues to be appropriate for the young person’s needs. This is supported by the Keeping Families Together service which aims to prevent young people coming into care or working on step down plans where safe to do so. In addition, there are targeted actions to reduce the average cost of service provision through negotiation with providers including block contract services for Asylum and also Leaving Care.</w:t>
      </w:r>
    </w:p>
    <w:p w14:paraId="663DEBF6" w14:textId="77777777" w:rsidR="008470E0" w:rsidRPr="00F00CD9" w:rsidRDefault="008470E0" w:rsidP="008470E0">
      <w:pPr>
        <w:pStyle w:val="ListParagraph"/>
        <w:rPr>
          <w:rFonts w:cs="Arial"/>
        </w:rPr>
      </w:pPr>
    </w:p>
    <w:p w14:paraId="7092232B" w14:textId="77777777" w:rsidR="008470E0" w:rsidRPr="00F00CD9" w:rsidRDefault="008470E0" w:rsidP="008470E0">
      <w:pPr>
        <w:pStyle w:val="ListParagraph"/>
        <w:numPr>
          <w:ilvl w:val="0"/>
          <w:numId w:val="6"/>
        </w:numPr>
        <w:ind w:left="460" w:hanging="567"/>
        <w:jc w:val="both"/>
        <w:rPr>
          <w:rFonts w:cs="Arial"/>
          <w:bCs/>
        </w:rPr>
      </w:pPr>
      <w:r w:rsidRPr="00F00CD9">
        <w:rPr>
          <w:rFonts w:cs="Arial"/>
        </w:rPr>
        <w:t>There are also issues regarding placement sufficiency as foster carers and other providers were reluctant to take new young people during COVID resulting in higher cost placements than necessarily required or young people staying longer in existing placements where they could have been stepped down. In addition, despite a successful in-house fostering recruitment campaign young people are still being placed out of borough for reasons of contextual safeguarding and not just placement sufficiency</w:t>
      </w:r>
    </w:p>
    <w:p w14:paraId="315C0A8E" w14:textId="77777777" w:rsidR="008470E0" w:rsidRPr="00F00CD9" w:rsidRDefault="008470E0" w:rsidP="008470E0">
      <w:pPr>
        <w:pStyle w:val="ListParagraph"/>
        <w:rPr>
          <w:rFonts w:cs="Arial"/>
          <w:b/>
        </w:rPr>
      </w:pPr>
    </w:p>
    <w:p w14:paraId="330DACA6" w14:textId="4775EBDC" w:rsidR="008470E0" w:rsidRPr="00F00CD9" w:rsidRDefault="008470E0" w:rsidP="008470E0">
      <w:pPr>
        <w:pStyle w:val="ListParagraph"/>
        <w:numPr>
          <w:ilvl w:val="0"/>
          <w:numId w:val="6"/>
        </w:numPr>
        <w:ind w:left="460" w:hanging="567"/>
        <w:jc w:val="both"/>
        <w:rPr>
          <w:rFonts w:cs="Arial"/>
          <w:bCs/>
        </w:rPr>
      </w:pPr>
      <w:r w:rsidRPr="00F00CD9">
        <w:rPr>
          <w:rFonts w:cs="Arial"/>
          <w:b/>
        </w:rPr>
        <w:t>Signers &amp; interpreters and Legal costs</w:t>
      </w:r>
      <w:r>
        <w:rPr>
          <w:rFonts w:cs="Arial"/>
          <w:bCs/>
        </w:rPr>
        <w:t xml:space="preserve"> – net </w:t>
      </w:r>
      <w:r w:rsidRPr="00F00CD9">
        <w:rPr>
          <w:rFonts w:cs="Arial"/>
          <w:bCs/>
        </w:rPr>
        <w:t>overspend £1</w:t>
      </w:r>
      <w:r w:rsidR="00076EAA">
        <w:rPr>
          <w:rFonts w:cs="Arial"/>
          <w:bCs/>
        </w:rPr>
        <w:t>43</w:t>
      </w:r>
      <w:r w:rsidRPr="00F00CD9">
        <w:rPr>
          <w:rFonts w:cs="Arial"/>
          <w:bCs/>
        </w:rPr>
        <w:t>k</w:t>
      </w:r>
      <w:r>
        <w:rPr>
          <w:rFonts w:cs="Arial"/>
          <w:bCs/>
        </w:rPr>
        <w:t xml:space="preserve">. </w:t>
      </w:r>
      <w:r w:rsidRPr="00F00CD9">
        <w:rPr>
          <w:rFonts w:cs="Arial"/>
        </w:rPr>
        <w:t xml:space="preserve">There are pressures mainly in relation to translation services, such as whole </w:t>
      </w:r>
      <w:r w:rsidRPr="00F00CD9">
        <w:rPr>
          <w:rFonts w:cs="Arial"/>
        </w:rPr>
        <w:lastRenderedPageBreak/>
        <w:t>document translation of parenting assessments for individuals whose first language is not English as well as Legal disbursement costs including barrister and independent experts’ fees in relation to care proceedings.</w:t>
      </w:r>
    </w:p>
    <w:p w14:paraId="2EA52596" w14:textId="77777777" w:rsidR="008470E0" w:rsidRPr="00F00CD9" w:rsidRDefault="008470E0" w:rsidP="008470E0">
      <w:pPr>
        <w:pStyle w:val="ListParagraph"/>
        <w:rPr>
          <w:rFonts w:cs="Arial"/>
          <w:b/>
        </w:rPr>
      </w:pPr>
    </w:p>
    <w:p w14:paraId="109FB7B3" w14:textId="2D919463" w:rsidR="008470E0" w:rsidRPr="00F00CD9" w:rsidRDefault="008470E0" w:rsidP="008470E0">
      <w:pPr>
        <w:pStyle w:val="ListParagraph"/>
        <w:numPr>
          <w:ilvl w:val="0"/>
          <w:numId w:val="6"/>
        </w:numPr>
        <w:ind w:left="460" w:hanging="567"/>
        <w:jc w:val="both"/>
        <w:rPr>
          <w:rFonts w:cs="Arial"/>
          <w:bCs/>
        </w:rPr>
      </w:pPr>
      <w:r w:rsidRPr="00F00CD9">
        <w:rPr>
          <w:rFonts w:cs="Arial"/>
          <w:b/>
        </w:rPr>
        <w:t>Client Spend Section 17</w:t>
      </w:r>
      <w:r w:rsidRPr="00F00CD9">
        <w:rPr>
          <w:rFonts w:cs="Arial"/>
          <w:bCs/>
        </w:rPr>
        <w:t xml:space="preserve"> – net overspend £</w:t>
      </w:r>
      <w:r w:rsidR="00076EAA">
        <w:rPr>
          <w:rFonts w:cs="Arial"/>
          <w:bCs/>
        </w:rPr>
        <w:t>65</w:t>
      </w:r>
      <w:r w:rsidRPr="00F00CD9">
        <w:rPr>
          <w:rFonts w:cs="Arial"/>
          <w:bCs/>
        </w:rPr>
        <w:t xml:space="preserve">k. </w:t>
      </w:r>
      <w:r w:rsidRPr="00F00CD9">
        <w:rPr>
          <w:rFonts w:cs="Arial"/>
        </w:rPr>
        <w:t>There are pressures in relation to support to families with children subject to a Child Protection or Children in Need plan, to help children remain at home where it is safe to do so. This budget remains at risk due to increasing numbers of Children in Need.</w:t>
      </w:r>
    </w:p>
    <w:p w14:paraId="5A56F716" w14:textId="77777777" w:rsidR="008470E0" w:rsidRPr="00F00CD9" w:rsidRDefault="008470E0" w:rsidP="008470E0">
      <w:pPr>
        <w:pStyle w:val="ListParagraph"/>
        <w:rPr>
          <w:rFonts w:cs="Arial"/>
          <w:b/>
        </w:rPr>
      </w:pPr>
    </w:p>
    <w:p w14:paraId="5551F583" w14:textId="7BE98865" w:rsidR="008470E0" w:rsidRDefault="008470E0" w:rsidP="008470E0">
      <w:pPr>
        <w:pStyle w:val="ListParagraph"/>
        <w:numPr>
          <w:ilvl w:val="0"/>
          <w:numId w:val="6"/>
        </w:numPr>
        <w:suppressAutoHyphens/>
        <w:ind w:left="460" w:hanging="567"/>
        <w:jc w:val="both"/>
        <w:rPr>
          <w:rFonts w:cs="Arial"/>
        </w:rPr>
      </w:pPr>
      <w:r w:rsidRPr="00F00CD9">
        <w:rPr>
          <w:rFonts w:cs="Arial"/>
          <w:b/>
        </w:rPr>
        <w:t>Other Children and Young People Services</w:t>
      </w:r>
      <w:r w:rsidRPr="00F00CD9">
        <w:rPr>
          <w:rFonts w:cs="Arial"/>
          <w:bCs/>
        </w:rPr>
        <w:t xml:space="preserve"> – net overspend £</w:t>
      </w:r>
      <w:r w:rsidR="00076EAA">
        <w:rPr>
          <w:rFonts w:cs="Arial"/>
          <w:bCs/>
        </w:rPr>
        <w:t>183</w:t>
      </w:r>
      <w:r w:rsidRPr="00F00CD9">
        <w:rPr>
          <w:rFonts w:cs="Arial"/>
          <w:bCs/>
        </w:rPr>
        <w:t xml:space="preserve">k. This is due to pressures </w:t>
      </w:r>
      <w:r w:rsidRPr="00F00CD9">
        <w:rPr>
          <w:rFonts w:cs="Arial"/>
        </w:rPr>
        <w:t>on other non-staffing budgets including commissioned services</w:t>
      </w:r>
      <w:r w:rsidR="00076EAA">
        <w:rPr>
          <w:rFonts w:cs="Arial"/>
        </w:rPr>
        <w:t xml:space="preserve"> and the Harrow Children’s Safeguarding Board</w:t>
      </w:r>
      <w:r w:rsidRPr="00F00CD9">
        <w:rPr>
          <w:rFonts w:cs="Arial"/>
        </w:rPr>
        <w:t>.</w:t>
      </w:r>
    </w:p>
    <w:p w14:paraId="4444795B" w14:textId="77777777" w:rsidR="008470E0" w:rsidRPr="00F00CD9" w:rsidRDefault="008470E0" w:rsidP="008470E0">
      <w:pPr>
        <w:pStyle w:val="ListParagraph"/>
        <w:rPr>
          <w:rFonts w:cs="Arial"/>
          <w:b/>
        </w:rPr>
      </w:pPr>
    </w:p>
    <w:p w14:paraId="11F07EF0" w14:textId="02261733" w:rsidR="008470E0" w:rsidRDefault="008470E0" w:rsidP="008470E0">
      <w:pPr>
        <w:pStyle w:val="ListParagraph"/>
        <w:numPr>
          <w:ilvl w:val="0"/>
          <w:numId w:val="6"/>
        </w:numPr>
        <w:suppressAutoHyphens/>
        <w:ind w:left="460" w:hanging="567"/>
        <w:jc w:val="both"/>
        <w:rPr>
          <w:rFonts w:cs="Arial"/>
        </w:rPr>
      </w:pPr>
      <w:r w:rsidRPr="00F00CD9">
        <w:rPr>
          <w:rFonts w:cs="Arial"/>
          <w:b/>
        </w:rPr>
        <w:t>SEN Transport</w:t>
      </w:r>
      <w:r w:rsidRPr="00F00CD9">
        <w:rPr>
          <w:rFonts w:cs="Arial"/>
          <w:bCs/>
        </w:rPr>
        <w:t xml:space="preserve"> – </w:t>
      </w:r>
      <w:r w:rsidR="00076EAA">
        <w:rPr>
          <w:rFonts w:cs="Arial"/>
          <w:bCs/>
        </w:rPr>
        <w:t>balanced budget</w:t>
      </w:r>
      <w:r w:rsidRPr="00F00CD9">
        <w:rPr>
          <w:rFonts w:cs="Arial"/>
          <w:bCs/>
        </w:rPr>
        <w:t xml:space="preserve">. </w:t>
      </w:r>
      <w:r w:rsidRPr="00F00CD9">
        <w:rPr>
          <w:rFonts w:cs="Arial"/>
        </w:rPr>
        <w:t xml:space="preserve">SEN Transport provides home to school and home to further education settings for children and young people in education with Education Health and Care Plans (EHCPs). There are significant pressures due to increase in demand for transport, increased complexity of children’s needs and pressures in the market in relation recruitment of qualified drivers. These issue lead to requirement for more single passenger journeys and the increased use of taxis and other hired transport. </w:t>
      </w:r>
      <w:r w:rsidR="00076EAA">
        <w:rPr>
          <w:rFonts w:cs="Arial"/>
        </w:rPr>
        <w:t>Despite this, it is anticipated that a balanced budget can be achieved in 2021/22.</w:t>
      </w:r>
    </w:p>
    <w:p w14:paraId="52427FB9" w14:textId="77777777" w:rsidR="008470E0" w:rsidRPr="00F00CD9" w:rsidRDefault="008470E0" w:rsidP="008470E0">
      <w:pPr>
        <w:pStyle w:val="ListParagraph"/>
        <w:rPr>
          <w:rFonts w:cs="Arial"/>
          <w:b/>
        </w:rPr>
      </w:pPr>
    </w:p>
    <w:p w14:paraId="5C2AC16F" w14:textId="5273C9FF" w:rsidR="008470E0" w:rsidRDefault="008470E0" w:rsidP="008470E0">
      <w:pPr>
        <w:pStyle w:val="ListParagraph"/>
        <w:numPr>
          <w:ilvl w:val="0"/>
          <w:numId w:val="6"/>
        </w:numPr>
        <w:suppressAutoHyphens/>
        <w:ind w:left="460" w:hanging="567"/>
        <w:jc w:val="both"/>
        <w:rPr>
          <w:rFonts w:cs="Arial"/>
        </w:rPr>
      </w:pPr>
      <w:r w:rsidRPr="00F00CD9">
        <w:rPr>
          <w:rFonts w:cs="Arial"/>
          <w:b/>
        </w:rPr>
        <w:t>Education Services</w:t>
      </w:r>
      <w:r w:rsidRPr="00F00CD9">
        <w:rPr>
          <w:rFonts w:cs="Arial"/>
          <w:bCs/>
        </w:rPr>
        <w:t xml:space="preserve"> – net overspend £</w:t>
      </w:r>
      <w:r w:rsidR="001462E9">
        <w:rPr>
          <w:rFonts w:cs="Arial"/>
          <w:bCs/>
        </w:rPr>
        <w:t>2</w:t>
      </w:r>
      <w:r w:rsidR="00076EAA">
        <w:rPr>
          <w:rFonts w:cs="Arial"/>
          <w:bCs/>
        </w:rPr>
        <w:t>86</w:t>
      </w:r>
      <w:r w:rsidRPr="00F00CD9">
        <w:rPr>
          <w:rFonts w:cs="Arial"/>
          <w:bCs/>
        </w:rPr>
        <w:t xml:space="preserve">k. This is due to pressures </w:t>
      </w:r>
      <w:r w:rsidRPr="00F00CD9">
        <w:rPr>
          <w:rFonts w:cs="Arial"/>
        </w:rPr>
        <w:t xml:space="preserve">in relation to SEN Assessment &amp; Review Service and Educational Psychology </w:t>
      </w:r>
      <w:r>
        <w:rPr>
          <w:rFonts w:cs="Arial"/>
        </w:rPr>
        <w:t xml:space="preserve">for Covid-19 </w:t>
      </w:r>
      <w:r w:rsidRPr="00F00CD9">
        <w:rPr>
          <w:rFonts w:cs="Arial"/>
        </w:rPr>
        <w:t xml:space="preserve">recovery </w:t>
      </w:r>
      <w:r w:rsidR="001462E9">
        <w:rPr>
          <w:rFonts w:cs="Arial"/>
        </w:rPr>
        <w:t>which</w:t>
      </w:r>
      <w:r w:rsidRPr="00F00CD9">
        <w:rPr>
          <w:rFonts w:cs="Arial"/>
        </w:rPr>
        <w:t xml:space="preserve"> is funded from a draw down from a reserve. </w:t>
      </w:r>
    </w:p>
    <w:p w14:paraId="6F4BA85F" w14:textId="77777777" w:rsidR="008470E0" w:rsidRPr="00F00CD9" w:rsidRDefault="008470E0" w:rsidP="008470E0">
      <w:pPr>
        <w:pStyle w:val="ListParagraph"/>
        <w:rPr>
          <w:rFonts w:cs="Arial"/>
          <w:b/>
        </w:rPr>
      </w:pPr>
    </w:p>
    <w:p w14:paraId="448737AD" w14:textId="7CA055ED" w:rsidR="008470E0" w:rsidRPr="00F00CD9" w:rsidRDefault="008470E0" w:rsidP="008470E0">
      <w:pPr>
        <w:pStyle w:val="ListParagraph"/>
        <w:numPr>
          <w:ilvl w:val="0"/>
          <w:numId w:val="6"/>
        </w:numPr>
        <w:suppressAutoHyphens/>
        <w:ind w:left="460" w:hanging="567"/>
        <w:jc w:val="both"/>
        <w:rPr>
          <w:rFonts w:cs="Arial"/>
          <w:bCs/>
        </w:rPr>
      </w:pPr>
      <w:r w:rsidRPr="00F00CD9">
        <w:rPr>
          <w:rFonts w:cs="Arial"/>
          <w:b/>
        </w:rPr>
        <w:t xml:space="preserve">Capital Programme </w:t>
      </w:r>
      <w:r w:rsidR="003D2E99">
        <w:rPr>
          <w:rFonts w:cs="Arial"/>
          <w:b/>
        </w:rPr>
        <w:t>&amp; PFI</w:t>
      </w:r>
      <w:r>
        <w:rPr>
          <w:rFonts w:cs="Arial"/>
          <w:bCs/>
        </w:rPr>
        <w:t xml:space="preserve">- net </w:t>
      </w:r>
      <w:r w:rsidRPr="00F00CD9">
        <w:rPr>
          <w:rFonts w:cs="Arial"/>
          <w:bCs/>
        </w:rPr>
        <w:t>overspend £</w:t>
      </w:r>
      <w:r w:rsidR="003D2E99">
        <w:rPr>
          <w:rFonts w:cs="Arial"/>
          <w:bCs/>
        </w:rPr>
        <w:t>224</w:t>
      </w:r>
      <w:r w:rsidRPr="00F00CD9">
        <w:rPr>
          <w:rFonts w:cs="Arial"/>
          <w:bCs/>
        </w:rPr>
        <w:t>k</w:t>
      </w:r>
      <w:r>
        <w:rPr>
          <w:rFonts w:cs="Arial"/>
          <w:bCs/>
        </w:rPr>
        <w:t xml:space="preserve">. </w:t>
      </w:r>
      <w:r w:rsidR="003D2E99">
        <w:rPr>
          <w:rFonts w:cs="Arial"/>
          <w:bCs/>
        </w:rPr>
        <w:t xml:space="preserve">The majority of this pressure relates to the Schools PFI which will be funded by a drawdown of £195k from the PFI reserve. The remainder </w:t>
      </w:r>
      <w:r>
        <w:rPr>
          <w:rFonts w:cs="Arial"/>
          <w:bCs/>
        </w:rPr>
        <w:t xml:space="preserve">relates to </w:t>
      </w:r>
      <w:r w:rsidRPr="00F00CD9">
        <w:rPr>
          <w:rFonts w:cs="Arial"/>
        </w:rPr>
        <w:t>feasibility studies which must be charged to revenue until the it is determined whether the capital scheme can proceed.</w:t>
      </w:r>
    </w:p>
    <w:p w14:paraId="126FC8BC" w14:textId="77777777" w:rsidR="008470E0" w:rsidRPr="00F00CD9" w:rsidRDefault="008470E0" w:rsidP="008470E0">
      <w:pPr>
        <w:pStyle w:val="ListParagraph"/>
        <w:rPr>
          <w:rFonts w:cs="Arial"/>
        </w:rPr>
      </w:pPr>
    </w:p>
    <w:p w14:paraId="65748273" w14:textId="77777777" w:rsidR="008470E0" w:rsidRPr="00F00CD9" w:rsidRDefault="008470E0" w:rsidP="008470E0">
      <w:pPr>
        <w:pStyle w:val="ListParagraph"/>
        <w:numPr>
          <w:ilvl w:val="0"/>
          <w:numId w:val="6"/>
        </w:numPr>
        <w:suppressAutoHyphens/>
        <w:ind w:left="460" w:hanging="567"/>
        <w:jc w:val="both"/>
        <w:rPr>
          <w:rFonts w:cs="Arial"/>
          <w:bCs/>
        </w:rPr>
      </w:pPr>
      <w:r w:rsidRPr="00F00CD9">
        <w:rPr>
          <w:rFonts w:cs="Arial"/>
        </w:rPr>
        <w:t>The above pressures are partially mitigated by the following income/drawdowns:</w:t>
      </w:r>
    </w:p>
    <w:p w14:paraId="41BD71C9" w14:textId="77777777" w:rsidR="008470E0" w:rsidRPr="00F00CD9" w:rsidRDefault="008470E0" w:rsidP="008470E0">
      <w:pPr>
        <w:pStyle w:val="ListParagraph"/>
        <w:rPr>
          <w:rFonts w:cs="Arial"/>
          <w:b/>
        </w:rPr>
      </w:pPr>
    </w:p>
    <w:p w14:paraId="1BC2F71A" w14:textId="1AD2BE8E" w:rsidR="008470E0" w:rsidRDefault="008470E0" w:rsidP="008470E0">
      <w:pPr>
        <w:pStyle w:val="ListParagraph"/>
        <w:numPr>
          <w:ilvl w:val="0"/>
          <w:numId w:val="6"/>
        </w:numPr>
        <w:suppressAutoHyphens/>
        <w:ind w:left="460" w:hanging="567"/>
        <w:jc w:val="both"/>
        <w:rPr>
          <w:rFonts w:cs="Arial"/>
          <w:bCs/>
        </w:rPr>
      </w:pPr>
      <w:r w:rsidRPr="00F00CD9">
        <w:rPr>
          <w:rFonts w:cs="Arial"/>
          <w:b/>
        </w:rPr>
        <w:t>One-off grant and other income</w:t>
      </w:r>
      <w:r w:rsidRPr="00F00CD9">
        <w:rPr>
          <w:rFonts w:cs="Arial"/>
          <w:bCs/>
        </w:rPr>
        <w:t xml:space="preserve"> – net underspend £</w:t>
      </w:r>
      <w:r w:rsidR="003D2E99">
        <w:rPr>
          <w:rFonts w:cs="Arial"/>
          <w:bCs/>
        </w:rPr>
        <w:t>627</w:t>
      </w:r>
      <w:r w:rsidRPr="00F00CD9">
        <w:rPr>
          <w:rFonts w:cs="Arial"/>
          <w:bCs/>
        </w:rPr>
        <w:t xml:space="preserve">k. </w:t>
      </w:r>
    </w:p>
    <w:p w14:paraId="218E5413" w14:textId="77777777" w:rsidR="008470E0" w:rsidRPr="00F00CD9" w:rsidRDefault="008470E0" w:rsidP="008470E0">
      <w:pPr>
        <w:suppressAutoHyphens/>
        <w:jc w:val="both"/>
        <w:rPr>
          <w:rFonts w:cs="Arial"/>
          <w:bCs/>
        </w:rPr>
      </w:pPr>
    </w:p>
    <w:p w14:paraId="6C3C1625" w14:textId="011C2DF5" w:rsidR="008470E0" w:rsidRPr="00F00CD9" w:rsidRDefault="008470E0" w:rsidP="008470E0">
      <w:pPr>
        <w:pStyle w:val="ListParagraph"/>
        <w:numPr>
          <w:ilvl w:val="0"/>
          <w:numId w:val="6"/>
        </w:numPr>
        <w:suppressAutoHyphens/>
        <w:ind w:left="460" w:hanging="567"/>
        <w:jc w:val="both"/>
        <w:rPr>
          <w:rFonts w:cs="Arial"/>
          <w:bCs/>
        </w:rPr>
      </w:pPr>
      <w:r w:rsidRPr="00F00CD9">
        <w:rPr>
          <w:rFonts w:cs="Arial"/>
          <w:b/>
        </w:rPr>
        <w:t>Drawdown from Reserves</w:t>
      </w:r>
      <w:r>
        <w:rPr>
          <w:rFonts w:cs="Arial"/>
          <w:bCs/>
        </w:rPr>
        <w:t xml:space="preserve"> – net underspe</w:t>
      </w:r>
      <w:r w:rsidRPr="00F00CD9">
        <w:rPr>
          <w:rFonts w:cs="Arial"/>
          <w:bCs/>
        </w:rPr>
        <w:t>nd</w:t>
      </w:r>
      <w:r>
        <w:rPr>
          <w:rFonts w:cs="Arial"/>
          <w:bCs/>
        </w:rPr>
        <w:t xml:space="preserve"> </w:t>
      </w:r>
      <w:r w:rsidRPr="00F00CD9">
        <w:rPr>
          <w:rFonts w:cs="Arial"/>
          <w:bCs/>
        </w:rPr>
        <w:t>£2.</w:t>
      </w:r>
      <w:r w:rsidR="003D2E99">
        <w:rPr>
          <w:rFonts w:cs="Arial"/>
          <w:bCs/>
        </w:rPr>
        <w:t>498</w:t>
      </w:r>
      <w:r w:rsidRPr="00F00CD9">
        <w:rPr>
          <w:rFonts w:cs="Arial"/>
          <w:bCs/>
        </w:rPr>
        <w:t>m</w:t>
      </w:r>
      <w:r>
        <w:rPr>
          <w:rFonts w:cs="Arial"/>
          <w:bCs/>
        </w:rPr>
        <w:t xml:space="preserve">. </w:t>
      </w:r>
    </w:p>
    <w:p w14:paraId="582A80F3" w14:textId="77777777" w:rsidR="008470E0" w:rsidRDefault="008470E0" w:rsidP="008470E0">
      <w:pPr>
        <w:rPr>
          <w:rFonts w:cs="Arial"/>
          <w:b/>
        </w:rPr>
      </w:pPr>
    </w:p>
    <w:p w14:paraId="6A0F54FA" w14:textId="77777777" w:rsidR="008470E0" w:rsidRDefault="008470E0" w:rsidP="008470E0">
      <w:pPr>
        <w:ind w:left="460"/>
        <w:rPr>
          <w:rFonts w:cs="Arial"/>
          <w:b/>
        </w:rPr>
      </w:pPr>
      <w:r>
        <w:rPr>
          <w:rFonts w:cs="Arial"/>
          <w:b/>
        </w:rPr>
        <w:t>Dedicated Schools Grant (DSG)</w:t>
      </w:r>
    </w:p>
    <w:p w14:paraId="693BE657" w14:textId="77777777" w:rsidR="008470E0" w:rsidRDefault="008470E0" w:rsidP="008470E0">
      <w:pPr>
        <w:ind w:left="460"/>
        <w:rPr>
          <w:rFonts w:cs="Arial"/>
          <w:b/>
        </w:rPr>
      </w:pPr>
    </w:p>
    <w:p w14:paraId="3A008A8C" w14:textId="77777777" w:rsidR="008470E0" w:rsidRDefault="008470E0" w:rsidP="008470E0">
      <w:pPr>
        <w:pStyle w:val="ListParagraph"/>
        <w:numPr>
          <w:ilvl w:val="0"/>
          <w:numId w:val="6"/>
        </w:numPr>
        <w:tabs>
          <w:tab w:val="left" w:pos="0"/>
          <w:tab w:val="left" w:pos="3402"/>
        </w:tabs>
        <w:suppressAutoHyphens/>
        <w:ind w:left="567" w:hanging="567"/>
        <w:jc w:val="both"/>
        <w:rPr>
          <w:rFonts w:cs="Arial"/>
        </w:rPr>
      </w:pPr>
      <w:r w:rsidRPr="00A576F8">
        <w:rPr>
          <w:rFonts w:cs="Arial"/>
          <w:bCs/>
        </w:rPr>
        <w:t xml:space="preserve">The DSG </w:t>
      </w:r>
      <w:r w:rsidRPr="00A576F8">
        <w:rPr>
          <w:rFonts w:cs="Arial"/>
        </w:rPr>
        <w:t xml:space="preserve">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w:t>
      </w:r>
      <w:r w:rsidRPr="00A576F8">
        <w:rPr>
          <w:rFonts w:cs="Arial"/>
        </w:rPr>
        <w:lastRenderedPageBreak/>
        <w:t>schools in Harrow and out of borough. The DSG is split into blocks: schools block, early years block and high needs bloc</w:t>
      </w:r>
      <w:r>
        <w:rPr>
          <w:rFonts w:cs="Arial"/>
        </w:rPr>
        <w:t>k</w:t>
      </w:r>
    </w:p>
    <w:p w14:paraId="41CFE8C3" w14:textId="77777777" w:rsidR="008470E0" w:rsidRDefault="008470E0" w:rsidP="008470E0">
      <w:pPr>
        <w:pStyle w:val="ListParagraph"/>
        <w:tabs>
          <w:tab w:val="left" w:pos="0"/>
          <w:tab w:val="left" w:pos="3402"/>
        </w:tabs>
        <w:suppressAutoHyphens/>
        <w:ind w:left="567"/>
        <w:jc w:val="both"/>
        <w:rPr>
          <w:rFonts w:cs="Arial"/>
        </w:rPr>
      </w:pPr>
    </w:p>
    <w:p w14:paraId="60215AC1" w14:textId="74EF7879" w:rsidR="008470E0" w:rsidRDefault="008470E0" w:rsidP="008470E0">
      <w:pPr>
        <w:pStyle w:val="ListParagraph"/>
        <w:numPr>
          <w:ilvl w:val="0"/>
          <w:numId w:val="6"/>
        </w:numPr>
        <w:tabs>
          <w:tab w:val="left" w:pos="0"/>
          <w:tab w:val="left" w:pos="3402"/>
        </w:tabs>
        <w:suppressAutoHyphens/>
        <w:ind w:left="567" w:hanging="567"/>
        <w:jc w:val="both"/>
        <w:rPr>
          <w:rFonts w:cs="Arial"/>
        </w:rPr>
      </w:pPr>
      <w:r w:rsidRPr="00A576F8">
        <w:rPr>
          <w:rFonts w:cs="Arial"/>
        </w:rPr>
        <w:t>There is a projected overspend on the High Needs Block of £</w:t>
      </w:r>
      <w:r w:rsidR="009B3304">
        <w:rPr>
          <w:rFonts w:cs="Arial"/>
        </w:rPr>
        <w:t>1.164m</w:t>
      </w:r>
      <w:r w:rsidRPr="00A576F8">
        <w:rPr>
          <w:rFonts w:cs="Arial"/>
        </w:rPr>
        <w:t xml:space="preserve"> in 2021-22 which added to the cumulative deficit of £3.730m brought forward from 2019-20 and 2020-21 will take the total deficit at the end of March 2022 to £4.</w:t>
      </w:r>
      <w:r w:rsidR="000A7457">
        <w:rPr>
          <w:rFonts w:cs="Arial"/>
        </w:rPr>
        <w:t>895</w:t>
      </w:r>
      <w:r w:rsidRPr="00A576F8">
        <w:rPr>
          <w:rFonts w:cs="Arial"/>
        </w:rPr>
        <w:t>m.</w:t>
      </w:r>
    </w:p>
    <w:p w14:paraId="343194ED" w14:textId="77777777" w:rsidR="000A7457" w:rsidRPr="000A7457" w:rsidRDefault="000A7457" w:rsidP="000A7457">
      <w:pPr>
        <w:pStyle w:val="ListParagraph"/>
        <w:rPr>
          <w:rFonts w:cs="Arial"/>
        </w:rPr>
      </w:pPr>
    </w:p>
    <w:p w14:paraId="21EDA076" w14:textId="2A5BF8F3" w:rsidR="000A7457" w:rsidRDefault="000A7457" w:rsidP="008470E0">
      <w:pPr>
        <w:pStyle w:val="ListParagraph"/>
        <w:numPr>
          <w:ilvl w:val="0"/>
          <w:numId w:val="6"/>
        </w:numPr>
        <w:tabs>
          <w:tab w:val="left" w:pos="0"/>
          <w:tab w:val="left" w:pos="3402"/>
        </w:tabs>
        <w:suppressAutoHyphens/>
        <w:ind w:left="567" w:hanging="567"/>
        <w:jc w:val="both"/>
        <w:rPr>
          <w:rFonts w:cs="Arial"/>
        </w:rPr>
      </w:pPr>
      <w:r>
        <w:rPr>
          <w:rFonts w:cs="Arial"/>
        </w:rPr>
        <w:t xml:space="preserve">There is a projected underspend on the Schools Block (growth fund) of £777k which will be returned to the </w:t>
      </w:r>
      <w:proofErr w:type="gramStart"/>
      <w:r>
        <w:rPr>
          <w:rFonts w:cs="Arial"/>
        </w:rPr>
        <w:t>schools</w:t>
      </w:r>
      <w:proofErr w:type="gramEnd"/>
      <w:r>
        <w:rPr>
          <w:rFonts w:cs="Arial"/>
        </w:rPr>
        <w:t xml:space="preserve"> contingency.</w:t>
      </w:r>
    </w:p>
    <w:p w14:paraId="7AA376C0" w14:textId="77777777" w:rsidR="008470E0" w:rsidRPr="00A576F8" w:rsidRDefault="008470E0" w:rsidP="008470E0">
      <w:pPr>
        <w:pStyle w:val="ListParagraph"/>
        <w:rPr>
          <w:rFonts w:cs="Arial"/>
        </w:rPr>
      </w:pPr>
    </w:p>
    <w:p w14:paraId="6C0F9F61" w14:textId="77777777" w:rsidR="008470E0" w:rsidRDefault="008470E0" w:rsidP="008470E0">
      <w:pPr>
        <w:pStyle w:val="ListParagraph"/>
        <w:numPr>
          <w:ilvl w:val="0"/>
          <w:numId w:val="6"/>
        </w:numPr>
        <w:tabs>
          <w:tab w:val="left" w:pos="0"/>
          <w:tab w:val="left" w:pos="3402"/>
        </w:tabs>
        <w:suppressAutoHyphens/>
        <w:ind w:left="567" w:hanging="567"/>
        <w:jc w:val="both"/>
        <w:rPr>
          <w:rFonts w:cs="Arial"/>
        </w:rPr>
      </w:pPr>
      <w:r w:rsidRPr="00A576F8">
        <w:rPr>
          <w:rFonts w:cs="Arial"/>
        </w:rPr>
        <w:t>Any deficits an authority may have on its DSG account is expected to be carried forward and does not require to be covered by the authority’s general reserves. This is a temporary arrangement until 2022-23 beyond which LAs must demonstrate they have sufficient reserves to cover the deficits.</w:t>
      </w:r>
    </w:p>
    <w:p w14:paraId="2E62415A" w14:textId="77777777" w:rsidR="008470E0" w:rsidRPr="00A576F8" w:rsidRDefault="008470E0" w:rsidP="008470E0">
      <w:pPr>
        <w:pStyle w:val="ListParagraph"/>
        <w:rPr>
          <w:rFonts w:cs="Arial"/>
        </w:rPr>
      </w:pPr>
    </w:p>
    <w:p w14:paraId="0A71EFF1" w14:textId="77777777" w:rsidR="008470E0" w:rsidRDefault="008470E0" w:rsidP="008470E0">
      <w:pPr>
        <w:pStyle w:val="ListParagraph"/>
        <w:numPr>
          <w:ilvl w:val="0"/>
          <w:numId w:val="6"/>
        </w:numPr>
        <w:tabs>
          <w:tab w:val="left" w:pos="0"/>
          <w:tab w:val="left" w:pos="3402"/>
        </w:tabs>
        <w:suppressAutoHyphens/>
        <w:ind w:left="567" w:hanging="567"/>
        <w:jc w:val="both"/>
        <w:rPr>
          <w:rFonts w:cs="Arial"/>
        </w:rPr>
      </w:pPr>
      <w:r w:rsidRPr="00A576F8">
        <w:rPr>
          <w:rFonts w:cs="Arial"/>
        </w:rPr>
        <w:t>With effect from 2019-20 the DfE has tightened up the rules under which local authorities have to explain their plans for bringing the DSG account back into balance.</w:t>
      </w:r>
    </w:p>
    <w:p w14:paraId="500EA6A6" w14:textId="77777777" w:rsidR="008470E0" w:rsidRPr="00A576F8" w:rsidRDefault="008470E0" w:rsidP="008470E0">
      <w:pPr>
        <w:pStyle w:val="ListParagraph"/>
        <w:rPr>
          <w:rFonts w:cs="Arial"/>
        </w:rPr>
      </w:pPr>
    </w:p>
    <w:p w14:paraId="5D1C0DB0" w14:textId="77777777" w:rsidR="008470E0" w:rsidRDefault="008470E0" w:rsidP="008470E0">
      <w:pPr>
        <w:pStyle w:val="ListParagraph"/>
        <w:numPr>
          <w:ilvl w:val="0"/>
          <w:numId w:val="6"/>
        </w:numPr>
        <w:tabs>
          <w:tab w:val="left" w:pos="0"/>
          <w:tab w:val="left" w:pos="3402"/>
        </w:tabs>
        <w:suppressAutoHyphens/>
        <w:ind w:left="567" w:hanging="567"/>
        <w:jc w:val="both"/>
        <w:rPr>
          <w:rFonts w:cs="Arial"/>
        </w:rPr>
      </w:pPr>
      <w:r w:rsidRPr="00A576F8">
        <w:rPr>
          <w:rFonts w:cs="Arial"/>
        </w:rPr>
        <w:t>The DfE will require a report from any LA that has a cumulative DSG deficit of more than 1% at the end of the financial year. The 1% calculation will be based on the latest published DSG allocations for 2021-22 compared with the deficit shown in the authority’s published draft accounts.</w:t>
      </w:r>
    </w:p>
    <w:p w14:paraId="1845FB8C" w14:textId="77777777" w:rsidR="008470E0" w:rsidRPr="00A576F8" w:rsidRDefault="008470E0" w:rsidP="008470E0">
      <w:pPr>
        <w:pStyle w:val="ListParagraph"/>
        <w:rPr>
          <w:rFonts w:cs="Arial"/>
        </w:rPr>
      </w:pPr>
    </w:p>
    <w:p w14:paraId="4FCFDED5" w14:textId="77777777" w:rsidR="008470E0" w:rsidRPr="00A576F8" w:rsidRDefault="008470E0" w:rsidP="008470E0">
      <w:pPr>
        <w:pStyle w:val="ListParagraph"/>
        <w:numPr>
          <w:ilvl w:val="0"/>
          <w:numId w:val="6"/>
        </w:numPr>
        <w:tabs>
          <w:tab w:val="left" w:pos="0"/>
          <w:tab w:val="left" w:pos="3402"/>
        </w:tabs>
        <w:suppressAutoHyphens/>
        <w:ind w:left="567" w:hanging="567"/>
        <w:jc w:val="both"/>
        <w:rPr>
          <w:rFonts w:cs="Arial"/>
          <w:szCs w:val="24"/>
        </w:rPr>
      </w:pPr>
      <w:r w:rsidRPr="00A576F8">
        <w:rPr>
          <w:rFonts w:cs="Arial"/>
        </w:rPr>
        <w:t xml:space="preserve">The final deficit at the end of 2020-21 of £3.730m represents 1.55% of the overall DSG </w:t>
      </w:r>
      <w:r w:rsidRPr="00A576F8">
        <w:rPr>
          <w:rFonts w:cs="Arial"/>
          <w:szCs w:val="24"/>
        </w:rPr>
        <w:t>allocation (including academy funding). The recovery plan has been drafted however and discussed with Schools Forum. However, the following points should be noted</w:t>
      </w:r>
    </w:p>
    <w:p w14:paraId="74A47B53" w14:textId="77777777" w:rsidR="008470E0" w:rsidRPr="00A576F8" w:rsidRDefault="008470E0" w:rsidP="008470E0">
      <w:pPr>
        <w:pStyle w:val="ListParagraph"/>
        <w:rPr>
          <w:rFonts w:cs="Arial"/>
          <w:szCs w:val="24"/>
        </w:rPr>
      </w:pPr>
    </w:p>
    <w:p w14:paraId="651C1935" w14:textId="77777777" w:rsidR="008470E0" w:rsidRPr="00A576F8" w:rsidRDefault="008470E0" w:rsidP="008470E0">
      <w:pPr>
        <w:pStyle w:val="ListParagraph"/>
        <w:numPr>
          <w:ilvl w:val="0"/>
          <w:numId w:val="6"/>
        </w:numPr>
        <w:tabs>
          <w:tab w:val="left" w:pos="0"/>
          <w:tab w:val="left" w:pos="3402"/>
        </w:tabs>
        <w:suppressAutoHyphens/>
        <w:ind w:left="567" w:hanging="567"/>
        <w:jc w:val="both"/>
        <w:rPr>
          <w:rFonts w:cs="Arial"/>
          <w:szCs w:val="24"/>
        </w:rPr>
      </w:pPr>
      <w:r w:rsidRPr="00A576F8">
        <w:rPr>
          <w:rFonts w:cs="Arial"/>
          <w:szCs w:val="24"/>
        </w:rPr>
        <w:t>Despite the significant proposals and measures planned over the next ten years, this will not mitigate the deficit. This is due to the following contributory factors:</w:t>
      </w:r>
    </w:p>
    <w:p w14:paraId="0200026A"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historical underfunding</w:t>
      </w:r>
    </w:p>
    <w:p w14:paraId="55694F29"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current budgets being based on historical budgets rather than historical spend</w:t>
      </w:r>
    </w:p>
    <w:p w14:paraId="440EA9A5"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extension of age range to include 0-5 and post 19</w:t>
      </w:r>
    </w:p>
    <w:p w14:paraId="018EEFF1"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current and projected formulaic funding which does not keep pace with demand</w:t>
      </w:r>
    </w:p>
    <w:p w14:paraId="6397B196"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significant historical and projected growth in number of EHCPs</w:t>
      </w:r>
    </w:p>
    <w:p w14:paraId="4D84BACF"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continued growth in complexity of pupils’ needs</w:t>
      </w:r>
    </w:p>
    <w:p w14:paraId="77FF6B0A" w14:textId="77777777" w:rsidR="008470E0" w:rsidRPr="004B7EAA" w:rsidRDefault="008470E0" w:rsidP="008470E0">
      <w:pPr>
        <w:pStyle w:val="ListParagraph"/>
        <w:numPr>
          <w:ilvl w:val="0"/>
          <w:numId w:val="14"/>
        </w:numPr>
        <w:spacing w:after="200"/>
        <w:ind w:left="1701" w:hanging="567"/>
        <w:contextualSpacing/>
        <w:rPr>
          <w:rFonts w:cs="Arial"/>
          <w:i/>
        </w:rPr>
      </w:pPr>
      <w:r w:rsidRPr="00A576F8">
        <w:rPr>
          <w:rFonts w:cs="Arial"/>
          <w:szCs w:val="24"/>
        </w:rPr>
        <w:t>limitations about creating cost effective provision in borough due to capacity and site limitations</w:t>
      </w:r>
    </w:p>
    <w:p w14:paraId="364D98A0" w14:textId="77777777" w:rsidR="008470E0" w:rsidRDefault="008470E0" w:rsidP="008470E0">
      <w:pPr>
        <w:ind w:left="567"/>
        <w:jc w:val="both"/>
        <w:rPr>
          <w:rFonts w:cs="Arial"/>
          <w:b/>
          <w:bCs/>
          <w:szCs w:val="24"/>
        </w:rPr>
      </w:pPr>
      <w:r>
        <w:rPr>
          <w:rFonts w:cs="Arial"/>
          <w:b/>
          <w:bCs/>
          <w:szCs w:val="24"/>
        </w:rPr>
        <w:t>HOUSING REVENUE ACCOUNT (HRA)</w:t>
      </w:r>
    </w:p>
    <w:p w14:paraId="59E4F050" w14:textId="77777777" w:rsidR="008470E0" w:rsidRPr="00EA30B3" w:rsidRDefault="008470E0" w:rsidP="008470E0">
      <w:pPr>
        <w:pStyle w:val="ListParagraph"/>
        <w:rPr>
          <w:rFonts w:cs="Arial"/>
          <w:szCs w:val="24"/>
        </w:rPr>
      </w:pPr>
    </w:p>
    <w:p w14:paraId="3EE42420" w14:textId="11857887" w:rsidR="008470E0" w:rsidRPr="009321AE" w:rsidRDefault="008470E0" w:rsidP="008470E0">
      <w:pPr>
        <w:pStyle w:val="ListParagraph"/>
        <w:numPr>
          <w:ilvl w:val="0"/>
          <w:numId w:val="6"/>
        </w:numPr>
        <w:ind w:left="460" w:hanging="567"/>
        <w:jc w:val="both"/>
        <w:rPr>
          <w:rFonts w:cs="Arial"/>
          <w:b/>
          <w:bCs/>
        </w:rPr>
      </w:pPr>
      <w:r>
        <w:rPr>
          <w:rFonts w:cs="Arial"/>
          <w:szCs w:val="24"/>
        </w:rPr>
        <w:t>As at Q1 the HRA is forecast to make a small surplus of £74k which brings the reserves in line with the budgeted position</w:t>
      </w:r>
      <w:r w:rsidR="009D3645">
        <w:rPr>
          <w:rFonts w:cs="Arial"/>
          <w:szCs w:val="24"/>
        </w:rPr>
        <w:t xml:space="preserve"> of £6.347m </w:t>
      </w:r>
      <w:proofErr w:type="spellStart"/>
      <w:r w:rsidR="009D3645">
        <w:rPr>
          <w:rFonts w:cs="Arial"/>
          <w:szCs w:val="24"/>
        </w:rPr>
        <w:t>ie</w:t>
      </w:r>
      <w:proofErr w:type="spellEnd"/>
      <w:r w:rsidR="009D3645">
        <w:rPr>
          <w:rFonts w:cs="Arial"/>
          <w:szCs w:val="24"/>
        </w:rPr>
        <w:t xml:space="preserve"> £6.273m (draft </w:t>
      </w:r>
      <w:r w:rsidR="009D3645">
        <w:rPr>
          <w:rFonts w:cs="Arial"/>
          <w:szCs w:val="24"/>
        </w:rPr>
        <w:lastRenderedPageBreak/>
        <w:t>closing reserve position for 2020/21. The position reflects the Covid-19 pressures of £71k and other variances of £849k due to lower income of £561k, higher depreciation charges of £184k, health &amp; safety costs £80k and GLA grant £24k. These have been offset by lower capital charges of £732k and savings in operational budgets of £262k mainly due to vacancies and the impact of lower void numbers.</w:t>
      </w:r>
    </w:p>
    <w:p w14:paraId="514AAB27" w14:textId="77777777" w:rsidR="008470E0" w:rsidRPr="009321AE" w:rsidRDefault="008470E0" w:rsidP="008470E0">
      <w:pPr>
        <w:pStyle w:val="ListParagraph"/>
        <w:ind w:left="460"/>
        <w:jc w:val="both"/>
        <w:rPr>
          <w:rFonts w:cs="Arial"/>
          <w:b/>
          <w:bCs/>
        </w:rPr>
      </w:pPr>
    </w:p>
    <w:p w14:paraId="48ACFC32" w14:textId="73B6A124" w:rsidR="008470E0" w:rsidRPr="009321AE" w:rsidRDefault="009D3645" w:rsidP="008470E0">
      <w:pPr>
        <w:pStyle w:val="ListParagraph"/>
        <w:numPr>
          <w:ilvl w:val="0"/>
          <w:numId w:val="6"/>
        </w:numPr>
        <w:ind w:left="460" w:hanging="567"/>
        <w:jc w:val="both"/>
        <w:rPr>
          <w:rFonts w:cs="Arial"/>
          <w:b/>
          <w:bCs/>
        </w:rPr>
      </w:pPr>
      <w:r>
        <w:rPr>
          <w:rFonts w:cs="Arial"/>
          <w:szCs w:val="24"/>
        </w:rPr>
        <w:t>The main risk identified in the budget is the impact of the end of Covid-19 restrictions on the repairs service that may have the effect that the number and cost of void properties, which are currently below budget, could increase over the next seven months</w:t>
      </w:r>
    </w:p>
    <w:p w14:paraId="2F53EA60" w14:textId="77777777" w:rsidR="008470E0" w:rsidRPr="009321AE" w:rsidRDefault="008470E0" w:rsidP="008470E0">
      <w:pPr>
        <w:pStyle w:val="ListParagraph"/>
        <w:ind w:left="460"/>
        <w:jc w:val="both"/>
        <w:rPr>
          <w:rFonts w:cs="Arial"/>
          <w:b/>
          <w:bCs/>
        </w:rPr>
      </w:pPr>
    </w:p>
    <w:p w14:paraId="4153210B" w14:textId="77777777" w:rsidR="008470E0" w:rsidRPr="00442B56" w:rsidRDefault="008470E0" w:rsidP="008470E0">
      <w:pPr>
        <w:pStyle w:val="ListParagraph"/>
        <w:numPr>
          <w:ilvl w:val="0"/>
          <w:numId w:val="6"/>
        </w:numPr>
        <w:ind w:left="460" w:hanging="567"/>
        <w:jc w:val="both"/>
        <w:rPr>
          <w:rFonts w:cs="Arial"/>
          <w:b/>
          <w:bCs/>
        </w:rPr>
      </w:pPr>
      <w:r w:rsidRPr="007B6DBF">
        <w:t xml:space="preserve">The expected HRA reserve position </w:t>
      </w:r>
      <w:r>
        <w:t>is</w:t>
      </w:r>
      <w:r w:rsidRPr="007B6DBF">
        <w:t xml:space="preserve"> set out below</w:t>
      </w:r>
      <w:r>
        <w:t xml:space="preserve"> at Table 2:</w:t>
      </w:r>
    </w:p>
    <w:p w14:paraId="2D27775E" w14:textId="61B4BEED" w:rsidR="008470E0" w:rsidRDefault="008470E0" w:rsidP="008470E0">
      <w:pPr>
        <w:pStyle w:val="ListParagraph"/>
        <w:rPr>
          <w:rFonts w:cs="Arial"/>
          <w:b/>
          <w:bCs/>
        </w:rPr>
      </w:pPr>
    </w:p>
    <w:p w14:paraId="640C045E" w14:textId="77777777" w:rsidR="008470E0" w:rsidRPr="00442B56" w:rsidRDefault="008470E0" w:rsidP="008470E0">
      <w:pPr>
        <w:pStyle w:val="ListParagraph"/>
        <w:rPr>
          <w:rFonts w:cs="Arial"/>
          <w:b/>
          <w:bCs/>
        </w:rPr>
      </w:pPr>
    </w:p>
    <w:p w14:paraId="5E1B18DA" w14:textId="77777777" w:rsidR="008470E0" w:rsidRPr="00442B56" w:rsidRDefault="008470E0" w:rsidP="008470E0">
      <w:pPr>
        <w:pStyle w:val="ListParagraph"/>
        <w:ind w:left="460"/>
        <w:jc w:val="both"/>
        <w:rPr>
          <w:rFonts w:cs="Arial"/>
          <w:b/>
          <w:bCs/>
          <w:u w:val="single"/>
        </w:rPr>
      </w:pPr>
      <w:r w:rsidRPr="00442B56">
        <w:rPr>
          <w:rFonts w:cs="Arial"/>
          <w:b/>
          <w:bCs/>
          <w:u w:val="single"/>
        </w:rPr>
        <w:t>Table 2 – Housing Revenue Account Reserves 2021/22</w:t>
      </w:r>
    </w:p>
    <w:p w14:paraId="50955CE1" w14:textId="77777777" w:rsidR="008470E0" w:rsidRPr="007B6DBF" w:rsidRDefault="008470E0" w:rsidP="008470E0"/>
    <w:tbl>
      <w:tblPr>
        <w:tblpPr w:leftFromText="180" w:rightFromText="180" w:vertAnchor="text" w:horzAnchor="margin" w:tblpXSpec="center" w:tblpY="65"/>
        <w:tblW w:w="8201" w:type="dxa"/>
        <w:tblLook w:val="04A0" w:firstRow="1" w:lastRow="0" w:firstColumn="1" w:lastColumn="0" w:noHBand="0" w:noVBand="1"/>
      </w:tblPr>
      <w:tblGrid>
        <w:gridCol w:w="2518"/>
        <w:gridCol w:w="1134"/>
        <w:gridCol w:w="992"/>
        <w:gridCol w:w="993"/>
        <w:gridCol w:w="1417"/>
        <w:gridCol w:w="1147"/>
      </w:tblGrid>
      <w:tr w:rsidR="008470E0" w:rsidRPr="007B6DBF" w14:paraId="168CEA56" w14:textId="77777777" w:rsidTr="004B4AC2">
        <w:trPr>
          <w:trHeight w:val="69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8FCFB" w14:textId="77777777" w:rsidR="008470E0" w:rsidRPr="00025B31" w:rsidRDefault="008470E0" w:rsidP="004B4AC2">
            <w:pPr>
              <w:rPr>
                <w:rFonts w:cs="Arial"/>
                <w:b/>
                <w:bCs/>
                <w:sz w:val="20"/>
                <w:lang w:eastAsia="en-GB"/>
              </w:rPr>
            </w:pPr>
            <w:r w:rsidRPr="00025B31">
              <w:rPr>
                <w:rFonts w:cs="Arial"/>
                <w:b/>
                <w:bCs/>
                <w:sz w:val="20"/>
                <w:lang w:eastAsia="en-GB"/>
              </w:rPr>
              <w:t>HRA revenue balances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ADE97A" w14:textId="77777777" w:rsidR="008470E0" w:rsidRPr="00025B31" w:rsidRDefault="008470E0" w:rsidP="004B4AC2">
            <w:pPr>
              <w:jc w:val="center"/>
              <w:rPr>
                <w:rFonts w:cs="Arial"/>
                <w:b/>
                <w:bCs/>
                <w:sz w:val="20"/>
                <w:lang w:eastAsia="en-GB"/>
              </w:rPr>
            </w:pPr>
            <w:r w:rsidRPr="00025B31">
              <w:rPr>
                <w:rFonts w:cs="Arial"/>
                <w:b/>
                <w:bCs/>
                <w:sz w:val="20"/>
                <w:lang w:eastAsia="en-GB"/>
              </w:rPr>
              <w:t>Outturn 2020/21 pre audit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E29AF4" w14:textId="77777777" w:rsidR="008470E0" w:rsidRPr="00025B31" w:rsidRDefault="008470E0" w:rsidP="004B4AC2">
            <w:pPr>
              <w:jc w:val="center"/>
              <w:rPr>
                <w:rFonts w:cs="Arial"/>
                <w:b/>
                <w:bCs/>
                <w:sz w:val="20"/>
                <w:lang w:eastAsia="en-GB"/>
              </w:rPr>
            </w:pPr>
            <w:r w:rsidRPr="00025B31">
              <w:rPr>
                <w:rFonts w:cs="Arial"/>
                <w:b/>
                <w:bCs/>
                <w:sz w:val="20"/>
                <w:lang w:eastAsia="en-GB"/>
              </w:rPr>
              <w:t>Budget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5F4DDE" w14:textId="77777777" w:rsidR="008470E0" w:rsidRPr="00025B31" w:rsidRDefault="008470E0" w:rsidP="004B4AC2">
            <w:pPr>
              <w:jc w:val="center"/>
              <w:rPr>
                <w:rFonts w:cs="Arial"/>
                <w:b/>
                <w:bCs/>
                <w:sz w:val="20"/>
                <w:lang w:eastAsia="en-GB"/>
              </w:rPr>
            </w:pPr>
            <w:r w:rsidRPr="00025B31">
              <w:rPr>
                <w:rFonts w:cs="Arial"/>
                <w:b/>
                <w:bCs/>
                <w:sz w:val="20"/>
                <w:lang w:eastAsia="en-GB"/>
              </w:rPr>
              <w:t>YTD actual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3B2594" w14:textId="77777777" w:rsidR="008470E0" w:rsidRPr="00025B31" w:rsidRDefault="008470E0" w:rsidP="004B4AC2">
            <w:pPr>
              <w:jc w:val="center"/>
              <w:rPr>
                <w:rFonts w:cs="Arial"/>
                <w:b/>
                <w:bCs/>
                <w:sz w:val="20"/>
                <w:lang w:eastAsia="en-GB"/>
              </w:rPr>
            </w:pPr>
            <w:r w:rsidRPr="00025B31">
              <w:rPr>
                <w:rFonts w:cs="Arial"/>
                <w:b/>
                <w:bCs/>
                <w:sz w:val="20"/>
                <w:lang w:eastAsia="en-GB"/>
              </w:rPr>
              <w:t>Forecast</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031D4FD9" w14:textId="77777777" w:rsidR="008470E0" w:rsidRPr="00025B31" w:rsidRDefault="008470E0" w:rsidP="004B4AC2">
            <w:pPr>
              <w:jc w:val="center"/>
              <w:rPr>
                <w:rFonts w:cs="Arial"/>
                <w:b/>
                <w:bCs/>
                <w:sz w:val="20"/>
                <w:lang w:eastAsia="en-GB"/>
              </w:rPr>
            </w:pPr>
            <w:r w:rsidRPr="00025B31">
              <w:rPr>
                <w:rFonts w:cs="Arial"/>
                <w:b/>
                <w:bCs/>
                <w:sz w:val="20"/>
                <w:lang w:eastAsia="en-GB"/>
              </w:rPr>
              <w:t>Variance</w:t>
            </w:r>
          </w:p>
        </w:tc>
      </w:tr>
      <w:tr w:rsidR="008470E0" w:rsidRPr="007B6DBF" w14:paraId="0173502B" w14:textId="77777777" w:rsidTr="004B4AC2">
        <w:trPr>
          <w:trHeight w:val="134"/>
        </w:trPr>
        <w:tc>
          <w:tcPr>
            <w:tcW w:w="2518" w:type="dxa"/>
            <w:tcBorders>
              <w:top w:val="nil"/>
              <w:left w:val="single" w:sz="4" w:space="0" w:color="auto"/>
              <w:bottom w:val="single" w:sz="4" w:space="0" w:color="auto"/>
              <w:right w:val="single" w:sz="4" w:space="0" w:color="auto"/>
            </w:tcBorders>
            <w:shd w:val="clear" w:color="auto" w:fill="auto"/>
            <w:vAlign w:val="center"/>
          </w:tcPr>
          <w:p w14:paraId="3706A90E" w14:textId="77777777" w:rsidR="008470E0" w:rsidRPr="00025B31" w:rsidRDefault="008470E0" w:rsidP="004B4AC2">
            <w:pPr>
              <w:rPr>
                <w:rFonts w:cs="Arial"/>
                <w:sz w:val="20"/>
                <w:lang w:eastAsia="en-GB"/>
              </w:rPr>
            </w:pPr>
          </w:p>
        </w:tc>
        <w:tc>
          <w:tcPr>
            <w:tcW w:w="1134" w:type="dxa"/>
            <w:tcBorders>
              <w:top w:val="nil"/>
              <w:left w:val="nil"/>
              <w:bottom w:val="single" w:sz="4" w:space="0" w:color="auto"/>
              <w:right w:val="single" w:sz="4" w:space="0" w:color="auto"/>
            </w:tcBorders>
            <w:shd w:val="clear" w:color="auto" w:fill="auto"/>
            <w:vAlign w:val="center"/>
          </w:tcPr>
          <w:p w14:paraId="15905754" w14:textId="77777777" w:rsidR="008470E0" w:rsidRPr="00025B31" w:rsidRDefault="008470E0" w:rsidP="004B4AC2">
            <w:pPr>
              <w:jc w:val="right"/>
              <w:rPr>
                <w:rFonts w:cs="Arial"/>
                <w:sz w:val="20"/>
                <w:lang w:eastAsia="en-GB"/>
              </w:rPr>
            </w:pPr>
            <w:r w:rsidRPr="00025B31">
              <w:rPr>
                <w:rFonts w:cs="Arial"/>
                <w:sz w:val="20"/>
                <w:lang w:eastAsia="en-GB"/>
              </w:rPr>
              <w:t>£’000</w:t>
            </w:r>
          </w:p>
        </w:tc>
        <w:tc>
          <w:tcPr>
            <w:tcW w:w="992" w:type="dxa"/>
            <w:tcBorders>
              <w:top w:val="nil"/>
              <w:left w:val="nil"/>
              <w:bottom w:val="single" w:sz="4" w:space="0" w:color="auto"/>
              <w:right w:val="single" w:sz="4" w:space="0" w:color="auto"/>
            </w:tcBorders>
            <w:shd w:val="clear" w:color="auto" w:fill="auto"/>
            <w:vAlign w:val="center"/>
          </w:tcPr>
          <w:p w14:paraId="5D72F1CD" w14:textId="77777777" w:rsidR="008470E0" w:rsidRPr="00025B31" w:rsidRDefault="008470E0" w:rsidP="004B4AC2">
            <w:pPr>
              <w:jc w:val="right"/>
              <w:rPr>
                <w:rFonts w:cs="Arial"/>
                <w:sz w:val="20"/>
                <w:lang w:eastAsia="en-GB"/>
              </w:rPr>
            </w:pPr>
            <w:r w:rsidRPr="00025B31">
              <w:rPr>
                <w:rFonts w:cs="Arial"/>
                <w:sz w:val="20"/>
                <w:lang w:eastAsia="en-GB"/>
              </w:rPr>
              <w:t>£’000</w:t>
            </w:r>
          </w:p>
        </w:tc>
        <w:tc>
          <w:tcPr>
            <w:tcW w:w="993" w:type="dxa"/>
            <w:tcBorders>
              <w:top w:val="nil"/>
              <w:left w:val="nil"/>
              <w:bottom w:val="single" w:sz="4" w:space="0" w:color="auto"/>
              <w:right w:val="single" w:sz="4" w:space="0" w:color="auto"/>
            </w:tcBorders>
            <w:shd w:val="clear" w:color="auto" w:fill="auto"/>
          </w:tcPr>
          <w:p w14:paraId="1DB33FD5" w14:textId="77777777" w:rsidR="008470E0" w:rsidRPr="00025B31" w:rsidRDefault="008470E0" w:rsidP="004B4AC2">
            <w:pPr>
              <w:jc w:val="right"/>
              <w:rPr>
                <w:rFonts w:cs="Arial"/>
                <w:sz w:val="20"/>
                <w:lang w:eastAsia="en-GB"/>
              </w:rPr>
            </w:pPr>
            <w:r w:rsidRPr="00025B31">
              <w:rPr>
                <w:sz w:val="20"/>
              </w:rPr>
              <w:t>£’000</w:t>
            </w:r>
          </w:p>
        </w:tc>
        <w:tc>
          <w:tcPr>
            <w:tcW w:w="1417" w:type="dxa"/>
            <w:tcBorders>
              <w:top w:val="nil"/>
              <w:left w:val="nil"/>
              <w:bottom w:val="single" w:sz="4" w:space="0" w:color="auto"/>
              <w:right w:val="single" w:sz="4" w:space="0" w:color="auto"/>
            </w:tcBorders>
            <w:shd w:val="clear" w:color="auto" w:fill="auto"/>
          </w:tcPr>
          <w:p w14:paraId="00A4999C" w14:textId="77777777" w:rsidR="008470E0" w:rsidRPr="00025B31" w:rsidRDefault="008470E0" w:rsidP="004B4AC2">
            <w:pPr>
              <w:jc w:val="right"/>
              <w:rPr>
                <w:rFonts w:cs="Arial"/>
                <w:sz w:val="20"/>
                <w:lang w:eastAsia="en-GB"/>
              </w:rPr>
            </w:pPr>
            <w:r w:rsidRPr="00025B31">
              <w:rPr>
                <w:sz w:val="20"/>
              </w:rPr>
              <w:t>£’000</w:t>
            </w:r>
          </w:p>
        </w:tc>
        <w:tc>
          <w:tcPr>
            <w:tcW w:w="1147" w:type="dxa"/>
            <w:tcBorders>
              <w:top w:val="nil"/>
              <w:left w:val="nil"/>
              <w:bottom w:val="single" w:sz="4" w:space="0" w:color="auto"/>
              <w:right w:val="single" w:sz="4" w:space="0" w:color="auto"/>
            </w:tcBorders>
            <w:shd w:val="clear" w:color="auto" w:fill="auto"/>
          </w:tcPr>
          <w:p w14:paraId="45A5B73C" w14:textId="77777777" w:rsidR="008470E0" w:rsidRPr="00025B31" w:rsidRDefault="008470E0" w:rsidP="004B4AC2">
            <w:pPr>
              <w:jc w:val="right"/>
              <w:rPr>
                <w:rFonts w:cs="Arial"/>
                <w:sz w:val="20"/>
                <w:lang w:eastAsia="en-GB"/>
              </w:rPr>
            </w:pPr>
            <w:r w:rsidRPr="00025B31">
              <w:rPr>
                <w:sz w:val="20"/>
              </w:rPr>
              <w:t>£’000</w:t>
            </w:r>
          </w:p>
        </w:tc>
      </w:tr>
      <w:tr w:rsidR="008470E0" w:rsidRPr="007B6DBF" w14:paraId="53E8868D" w14:textId="77777777" w:rsidTr="004B4AC2">
        <w:trPr>
          <w:trHeight w:val="13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FD7389E" w14:textId="77777777" w:rsidR="008470E0" w:rsidRPr="00025B31" w:rsidRDefault="008470E0" w:rsidP="004B4AC2">
            <w:pPr>
              <w:rPr>
                <w:rFonts w:cs="Arial"/>
                <w:sz w:val="20"/>
                <w:lang w:eastAsia="en-GB"/>
              </w:rPr>
            </w:pPr>
            <w:r w:rsidRPr="00025B31">
              <w:rPr>
                <w:rFonts w:cs="Arial"/>
                <w:sz w:val="20"/>
                <w:lang w:eastAsia="en-GB"/>
              </w:rPr>
              <w:t>Balance b/</w:t>
            </w:r>
            <w:proofErr w:type="spellStart"/>
            <w:r w:rsidRPr="00025B31">
              <w:rPr>
                <w:rFonts w:cs="Arial"/>
                <w:sz w:val="20"/>
                <w:lang w:eastAsia="en-GB"/>
              </w:rPr>
              <w:t>fwd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EA3EBAD" w14:textId="77777777" w:rsidR="008470E0" w:rsidRPr="00025B31" w:rsidRDefault="008470E0" w:rsidP="004B4AC2">
            <w:pPr>
              <w:jc w:val="right"/>
              <w:rPr>
                <w:rFonts w:cs="Arial"/>
                <w:sz w:val="20"/>
                <w:lang w:eastAsia="en-GB"/>
              </w:rPr>
            </w:pPr>
            <w:r w:rsidRPr="00025B31">
              <w:rPr>
                <w:rFonts w:cs="Arial"/>
                <w:sz w:val="20"/>
                <w:lang w:eastAsia="en-GB"/>
              </w:rPr>
              <w:t>-7,526</w:t>
            </w:r>
          </w:p>
        </w:tc>
        <w:tc>
          <w:tcPr>
            <w:tcW w:w="992" w:type="dxa"/>
            <w:tcBorders>
              <w:top w:val="nil"/>
              <w:left w:val="nil"/>
              <w:bottom w:val="single" w:sz="4" w:space="0" w:color="auto"/>
              <w:right w:val="single" w:sz="4" w:space="0" w:color="auto"/>
            </w:tcBorders>
            <w:shd w:val="clear" w:color="auto" w:fill="auto"/>
            <w:vAlign w:val="center"/>
            <w:hideMark/>
          </w:tcPr>
          <w:p w14:paraId="31952ED4"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993" w:type="dxa"/>
            <w:tcBorders>
              <w:top w:val="nil"/>
              <w:left w:val="nil"/>
              <w:bottom w:val="single" w:sz="4" w:space="0" w:color="auto"/>
              <w:right w:val="single" w:sz="4" w:space="0" w:color="auto"/>
            </w:tcBorders>
            <w:shd w:val="clear" w:color="auto" w:fill="auto"/>
            <w:vAlign w:val="center"/>
            <w:hideMark/>
          </w:tcPr>
          <w:p w14:paraId="433252D5"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7CA08AB8"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1147" w:type="dxa"/>
            <w:tcBorders>
              <w:top w:val="nil"/>
              <w:left w:val="nil"/>
              <w:bottom w:val="single" w:sz="4" w:space="0" w:color="auto"/>
              <w:right w:val="single" w:sz="4" w:space="0" w:color="auto"/>
            </w:tcBorders>
            <w:shd w:val="clear" w:color="auto" w:fill="auto"/>
            <w:vAlign w:val="center"/>
            <w:hideMark/>
          </w:tcPr>
          <w:p w14:paraId="35F6B0C7"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1590F058"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A7EBB46" w14:textId="77777777" w:rsidR="008470E0" w:rsidRPr="00025B31" w:rsidRDefault="008470E0" w:rsidP="004B4AC2">
            <w:pPr>
              <w:rPr>
                <w:rFonts w:cs="Arial"/>
                <w:sz w:val="20"/>
                <w:lang w:eastAsia="en-GB"/>
              </w:rPr>
            </w:pPr>
            <w:r w:rsidRPr="00025B31">
              <w:rPr>
                <w:rFonts w:cs="Arial"/>
                <w:sz w:val="20"/>
                <w:lang w:eastAsia="en-GB"/>
              </w:rPr>
              <w:t>Net (surplus) deficit</w:t>
            </w:r>
          </w:p>
        </w:tc>
        <w:tc>
          <w:tcPr>
            <w:tcW w:w="1134" w:type="dxa"/>
            <w:tcBorders>
              <w:top w:val="nil"/>
              <w:left w:val="nil"/>
              <w:bottom w:val="single" w:sz="4" w:space="0" w:color="auto"/>
              <w:right w:val="single" w:sz="4" w:space="0" w:color="auto"/>
            </w:tcBorders>
            <w:shd w:val="clear" w:color="auto" w:fill="auto"/>
            <w:vAlign w:val="center"/>
            <w:hideMark/>
          </w:tcPr>
          <w:p w14:paraId="0AE31D10" w14:textId="77777777" w:rsidR="008470E0" w:rsidRPr="00025B31" w:rsidRDefault="008470E0" w:rsidP="004B4AC2">
            <w:pPr>
              <w:jc w:val="right"/>
              <w:rPr>
                <w:rFonts w:cs="Arial"/>
                <w:sz w:val="20"/>
                <w:lang w:eastAsia="en-GB"/>
              </w:rPr>
            </w:pPr>
            <w:r w:rsidRPr="00025B31">
              <w:rPr>
                <w:rFonts w:cs="Arial"/>
                <w:sz w:val="20"/>
                <w:lang w:eastAsia="en-GB"/>
              </w:rPr>
              <w:t>339</w:t>
            </w:r>
          </w:p>
        </w:tc>
        <w:tc>
          <w:tcPr>
            <w:tcW w:w="992" w:type="dxa"/>
            <w:tcBorders>
              <w:top w:val="nil"/>
              <w:left w:val="nil"/>
              <w:bottom w:val="single" w:sz="4" w:space="0" w:color="auto"/>
              <w:right w:val="single" w:sz="4" w:space="0" w:color="auto"/>
            </w:tcBorders>
            <w:shd w:val="clear" w:color="auto" w:fill="auto"/>
            <w:vAlign w:val="center"/>
            <w:hideMark/>
          </w:tcPr>
          <w:p w14:paraId="45DE9DDE" w14:textId="77777777" w:rsidR="008470E0" w:rsidRPr="00025B31" w:rsidRDefault="008470E0" w:rsidP="004B4AC2">
            <w:pPr>
              <w:jc w:val="right"/>
              <w:rPr>
                <w:rFonts w:cs="Arial"/>
                <w:sz w:val="20"/>
                <w:lang w:eastAsia="en-GB"/>
              </w:rPr>
            </w:pPr>
          </w:p>
        </w:tc>
        <w:tc>
          <w:tcPr>
            <w:tcW w:w="993" w:type="dxa"/>
            <w:tcBorders>
              <w:top w:val="nil"/>
              <w:left w:val="nil"/>
              <w:bottom w:val="single" w:sz="4" w:space="0" w:color="auto"/>
              <w:right w:val="single" w:sz="4" w:space="0" w:color="auto"/>
            </w:tcBorders>
            <w:shd w:val="clear" w:color="auto" w:fill="auto"/>
            <w:vAlign w:val="center"/>
            <w:hideMark/>
          </w:tcPr>
          <w:p w14:paraId="085B2A30"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417" w:type="dxa"/>
            <w:tcBorders>
              <w:top w:val="nil"/>
              <w:left w:val="nil"/>
              <w:bottom w:val="single" w:sz="4" w:space="0" w:color="auto"/>
              <w:right w:val="single" w:sz="4" w:space="0" w:color="auto"/>
            </w:tcBorders>
            <w:shd w:val="clear" w:color="auto" w:fill="auto"/>
            <w:vAlign w:val="center"/>
            <w:hideMark/>
          </w:tcPr>
          <w:p w14:paraId="2C6E336E"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147" w:type="dxa"/>
            <w:tcBorders>
              <w:top w:val="nil"/>
              <w:left w:val="nil"/>
              <w:bottom w:val="single" w:sz="4" w:space="0" w:color="auto"/>
              <w:right w:val="single" w:sz="4" w:space="0" w:color="auto"/>
            </w:tcBorders>
            <w:shd w:val="clear" w:color="auto" w:fill="auto"/>
            <w:vAlign w:val="center"/>
            <w:hideMark/>
          </w:tcPr>
          <w:p w14:paraId="1AB7BB16"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7BAB7929" w14:textId="77777777" w:rsidTr="004B4AC2">
        <w:trPr>
          <w:trHeight w:val="270"/>
        </w:trPr>
        <w:tc>
          <w:tcPr>
            <w:tcW w:w="8201" w:type="dxa"/>
            <w:gridSpan w:val="6"/>
            <w:tcBorders>
              <w:top w:val="nil"/>
              <w:left w:val="single" w:sz="4" w:space="0" w:color="auto"/>
              <w:bottom w:val="single" w:sz="4" w:space="0" w:color="auto"/>
              <w:right w:val="single" w:sz="4" w:space="0" w:color="auto"/>
            </w:tcBorders>
            <w:shd w:val="clear" w:color="auto" w:fill="auto"/>
            <w:vAlign w:val="center"/>
            <w:hideMark/>
          </w:tcPr>
          <w:p w14:paraId="74612008" w14:textId="77777777" w:rsidR="008470E0" w:rsidRPr="00025B31" w:rsidRDefault="008470E0" w:rsidP="004B4AC2">
            <w:pPr>
              <w:rPr>
                <w:rFonts w:cs="Arial"/>
                <w:sz w:val="20"/>
                <w:u w:val="single"/>
                <w:lang w:eastAsia="en-GB"/>
              </w:rPr>
            </w:pPr>
            <w:r w:rsidRPr="00025B31">
              <w:rPr>
                <w:rFonts w:cs="Arial"/>
                <w:sz w:val="20"/>
                <w:u w:val="single"/>
                <w:lang w:eastAsia="en-GB"/>
              </w:rPr>
              <w:t>Transfer to/(from) reserves:</w:t>
            </w:r>
            <w:r w:rsidRPr="00025B31">
              <w:rPr>
                <w:rFonts w:cs="Arial"/>
                <w:sz w:val="20"/>
                <w:lang w:eastAsia="en-GB"/>
              </w:rPr>
              <w:t> </w:t>
            </w:r>
          </w:p>
          <w:p w14:paraId="4D16B85C" w14:textId="77777777" w:rsidR="008470E0" w:rsidRPr="00025B31" w:rsidRDefault="008470E0" w:rsidP="004B4AC2">
            <w:pPr>
              <w:jc w:val="right"/>
              <w:rPr>
                <w:rFonts w:cs="Arial"/>
                <w:sz w:val="20"/>
                <w:lang w:eastAsia="en-GB"/>
              </w:rPr>
            </w:pPr>
            <w:r w:rsidRPr="00025B31">
              <w:rPr>
                <w:rFonts w:cs="Arial"/>
                <w:sz w:val="20"/>
                <w:lang w:eastAsia="en-GB"/>
              </w:rPr>
              <w:t> </w:t>
            </w:r>
          </w:p>
        </w:tc>
      </w:tr>
      <w:tr w:rsidR="008470E0" w:rsidRPr="007B6DBF" w14:paraId="28416A3D"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C540EA1" w14:textId="77777777" w:rsidR="008470E0" w:rsidRPr="00025B31" w:rsidRDefault="008470E0" w:rsidP="004B4AC2">
            <w:pPr>
              <w:rPr>
                <w:rFonts w:cs="Arial"/>
                <w:sz w:val="20"/>
                <w:lang w:eastAsia="en-GB"/>
              </w:rPr>
            </w:pPr>
            <w:r w:rsidRPr="00025B31">
              <w:rPr>
                <w:rFonts w:cs="Arial"/>
                <w:sz w:val="20"/>
                <w:lang w:eastAsia="en-GB"/>
              </w:rPr>
              <w:t>Repairs reserve</w:t>
            </w:r>
          </w:p>
        </w:tc>
        <w:tc>
          <w:tcPr>
            <w:tcW w:w="1134" w:type="dxa"/>
            <w:tcBorders>
              <w:top w:val="nil"/>
              <w:left w:val="nil"/>
              <w:bottom w:val="single" w:sz="4" w:space="0" w:color="auto"/>
              <w:right w:val="single" w:sz="4" w:space="0" w:color="auto"/>
            </w:tcBorders>
            <w:shd w:val="clear" w:color="auto" w:fill="auto"/>
            <w:vAlign w:val="center"/>
            <w:hideMark/>
          </w:tcPr>
          <w:p w14:paraId="3FC236B1" w14:textId="77777777" w:rsidR="008470E0" w:rsidRPr="00025B31" w:rsidRDefault="008470E0" w:rsidP="004B4AC2">
            <w:pPr>
              <w:jc w:val="right"/>
              <w:rPr>
                <w:rFonts w:cs="Arial"/>
                <w:sz w:val="20"/>
                <w:lang w:eastAsia="en-GB"/>
              </w:rPr>
            </w:pPr>
            <w:r w:rsidRPr="00025B31">
              <w:rPr>
                <w:rFonts w:cs="Arial"/>
                <w:sz w:val="20"/>
                <w:lang w:eastAsia="en-GB"/>
              </w:rPr>
              <w:t>114</w:t>
            </w:r>
          </w:p>
        </w:tc>
        <w:tc>
          <w:tcPr>
            <w:tcW w:w="992" w:type="dxa"/>
            <w:tcBorders>
              <w:top w:val="nil"/>
              <w:left w:val="nil"/>
              <w:bottom w:val="single" w:sz="4" w:space="0" w:color="auto"/>
              <w:right w:val="single" w:sz="4" w:space="0" w:color="auto"/>
            </w:tcBorders>
            <w:shd w:val="clear" w:color="auto" w:fill="auto"/>
            <w:vAlign w:val="center"/>
            <w:hideMark/>
          </w:tcPr>
          <w:p w14:paraId="18B8F60D"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993" w:type="dxa"/>
            <w:tcBorders>
              <w:top w:val="nil"/>
              <w:left w:val="nil"/>
              <w:bottom w:val="single" w:sz="4" w:space="0" w:color="auto"/>
              <w:right w:val="single" w:sz="4" w:space="0" w:color="auto"/>
            </w:tcBorders>
            <w:shd w:val="clear" w:color="auto" w:fill="auto"/>
            <w:vAlign w:val="center"/>
            <w:hideMark/>
          </w:tcPr>
          <w:p w14:paraId="0AC40AB9"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1DDBFEF3"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147" w:type="dxa"/>
            <w:tcBorders>
              <w:top w:val="nil"/>
              <w:left w:val="nil"/>
              <w:bottom w:val="single" w:sz="4" w:space="0" w:color="auto"/>
              <w:right w:val="single" w:sz="4" w:space="0" w:color="auto"/>
            </w:tcBorders>
            <w:shd w:val="clear" w:color="auto" w:fill="auto"/>
            <w:vAlign w:val="center"/>
            <w:hideMark/>
          </w:tcPr>
          <w:p w14:paraId="1BD07C68"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2361920C"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095726F" w14:textId="77777777" w:rsidR="008470E0" w:rsidRPr="00025B31" w:rsidRDefault="008470E0" w:rsidP="004B4AC2">
            <w:pPr>
              <w:rPr>
                <w:rFonts w:cs="Arial"/>
                <w:sz w:val="20"/>
                <w:lang w:eastAsia="en-GB"/>
              </w:rPr>
            </w:pPr>
            <w:r w:rsidRPr="00025B31">
              <w:rPr>
                <w:rFonts w:cs="Arial"/>
                <w:sz w:val="20"/>
                <w:lang w:eastAsia="en-GB"/>
              </w:rPr>
              <w:t>Transformation reserve</w:t>
            </w:r>
          </w:p>
        </w:tc>
        <w:tc>
          <w:tcPr>
            <w:tcW w:w="1134" w:type="dxa"/>
            <w:tcBorders>
              <w:top w:val="nil"/>
              <w:left w:val="nil"/>
              <w:bottom w:val="single" w:sz="4" w:space="0" w:color="auto"/>
              <w:right w:val="single" w:sz="4" w:space="0" w:color="auto"/>
            </w:tcBorders>
            <w:shd w:val="clear" w:color="auto" w:fill="auto"/>
            <w:vAlign w:val="center"/>
            <w:hideMark/>
          </w:tcPr>
          <w:p w14:paraId="30540915" w14:textId="77777777" w:rsidR="008470E0" w:rsidRPr="00025B31" w:rsidRDefault="008470E0" w:rsidP="004B4AC2">
            <w:pPr>
              <w:jc w:val="right"/>
              <w:rPr>
                <w:rFonts w:cs="Arial"/>
                <w:sz w:val="20"/>
                <w:lang w:eastAsia="en-GB"/>
              </w:rPr>
            </w:pPr>
            <w:r w:rsidRPr="00025B31">
              <w:rPr>
                <w:rFonts w:cs="Arial"/>
                <w:sz w:val="20"/>
                <w:lang w:eastAsia="en-GB"/>
              </w:rPr>
              <w:t>250</w:t>
            </w:r>
          </w:p>
        </w:tc>
        <w:tc>
          <w:tcPr>
            <w:tcW w:w="992" w:type="dxa"/>
            <w:tcBorders>
              <w:top w:val="nil"/>
              <w:left w:val="nil"/>
              <w:bottom w:val="single" w:sz="4" w:space="0" w:color="auto"/>
              <w:right w:val="single" w:sz="4" w:space="0" w:color="auto"/>
            </w:tcBorders>
            <w:shd w:val="clear" w:color="auto" w:fill="auto"/>
            <w:vAlign w:val="center"/>
            <w:hideMark/>
          </w:tcPr>
          <w:p w14:paraId="22ED2EBE"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993" w:type="dxa"/>
            <w:tcBorders>
              <w:top w:val="nil"/>
              <w:left w:val="nil"/>
              <w:bottom w:val="single" w:sz="4" w:space="0" w:color="auto"/>
              <w:right w:val="single" w:sz="4" w:space="0" w:color="auto"/>
            </w:tcBorders>
            <w:shd w:val="clear" w:color="auto" w:fill="auto"/>
            <w:vAlign w:val="center"/>
            <w:hideMark/>
          </w:tcPr>
          <w:p w14:paraId="0026E6C6"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6F6FF2CC"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147" w:type="dxa"/>
            <w:tcBorders>
              <w:top w:val="nil"/>
              <w:left w:val="nil"/>
              <w:bottom w:val="single" w:sz="4" w:space="0" w:color="auto"/>
              <w:right w:val="single" w:sz="4" w:space="0" w:color="auto"/>
            </w:tcBorders>
            <w:shd w:val="clear" w:color="auto" w:fill="auto"/>
            <w:vAlign w:val="center"/>
            <w:hideMark/>
          </w:tcPr>
          <w:p w14:paraId="34C27725" w14:textId="77777777" w:rsidR="008470E0" w:rsidRPr="00025B31" w:rsidRDefault="008470E0" w:rsidP="004B4AC2">
            <w:pPr>
              <w:jc w:val="right"/>
              <w:rPr>
                <w:rFonts w:cs="Arial"/>
                <w:sz w:val="20"/>
                <w:lang w:eastAsia="en-GB"/>
              </w:rPr>
            </w:pPr>
            <w:r w:rsidRPr="00025B31">
              <w:rPr>
                <w:rFonts w:cs="Arial"/>
                <w:sz w:val="20"/>
                <w:lang w:eastAsia="en-GB"/>
              </w:rPr>
              <w:t>0 </w:t>
            </w:r>
          </w:p>
        </w:tc>
      </w:tr>
      <w:tr w:rsidR="008470E0" w:rsidRPr="007B6DBF" w14:paraId="5E670B4A"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12C9466" w14:textId="77777777" w:rsidR="008470E0" w:rsidRPr="00025B31" w:rsidRDefault="008470E0" w:rsidP="004B4AC2">
            <w:pPr>
              <w:rPr>
                <w:rFonts w:cs="Arial"/>
                <w:sz w:val="20"/>
                <w:lang w:eastAsia="en-GB"/>
              </w:rPr>
            </w:pPr>
            <w:r w:rsidRPr="00025B31">
              <w:rPr>
                <w:rFonts w:cs="Arial"/>
                <w:sz w:val="20"/>
                <w:lang w:eastAsia="en-GB"/>
              </w:rPr>
              <w:t xml:space="preserve">Regeneration Reserve </w:t>
            </w:r>
          </w:p>
        </w:tc>
        <w:tc>
          <w:tcPr>
            <w:tcW w:w="1134" w:type="dxa"/>
            <w:tcBorders>
              <w:top w:val="nil"/>
              <w:left w:val="nil"/>
              <w:bottom w:val="single" w:sz="4" w:space="0" w:color="auto"/>
              <w:right w:val="single" w:sz="4" w:space="0" w:color="auto"/>
            </w:tcBorders>
            <w:shd w:val="clear" w:color="auto" w:fill="auto"/>
            <w:vAlign w:val="center"/>
            <w:hideMark/>
          </w:tcPr>
          <w:p w14:paraId="5645F62E" w14:textId="77777777" w:rsidR="008470E0" w:rsidRPr="00025B31" w:rsidRDefault="008470E0" w:rsidP="004B4AC2">
            <w:pPr>
              <w:jc w:val="right"/>
              <w:rPr>
                <w:rFonts w:cs="Arial"/>
                <w:sz w:val="20"/>
                <w:lang w:eastAsia="en-GB"/>
              </w:rPr>
            </w:pPr>
            <w:r w:rsidRPr="00025B31">
              <w:rPr>
                <w:rFonts w:cs="Arial"/>
                <w:sz w:val="20"/>
                <w:lang w:eastAsia="en-GB"/>
              </w:rPr>
              <w:t>550</w:t>
            </w:r>
          </w:p>
        </w:tc>
        <w:tc>
          <w:tcPr>
            <w:tcW w:w="992" w:type="dxa"/>
            <w:tcBorders>
              <w:top w:val="nil"/>
              <w:left w:val="nil"/>
              <w:bottom w:val="single" w:sz="4" w:space="0" w:color="auto"/>
              <w:right w:val="single" w:sz="4" w:space="0" w:color="auto"/>
            </w:tcBorders>
            <w:shd w:val="clear" w:color="auto" w:fill="auto"/>
            <w:vAlign w:val="center"/>
            <w:hideMark/>
          </w:tcPr>
          <w:p w14:paraId="5502168E"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993" w:type="dxa"/>
            <w:tcBorders>
              <w:top w:val="nil"/>
              <w:left w:val="nil"/>
              <w:bottom w:val="single" w:sz="4" w:space="0" w:color="auto"/>
              <w:right w:val="single" w:sz="4" w:space="0" w:color="auto"/>
            </w:tcBorders>
            <w:shd w:val="clear" w:color="auto" w:fill="auto"/>
            <w:vAlign w:val="center"/>
            <w:hideMark/>
          </w:tcPr>
          <w:p w14:paraId="4C28293D"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3BC2F954"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147" w:type="dxa"/>
            <w:tcBorders>
              <w:top w:val="nil"/>
              <w:left w:val="nil"/>
              <w:bottom w:val="single" w:sz="4" w:space="0" w:color="auto"/>
              <w:right w:val="single" w:sz="4" w:space="0" w:color="auto"/>
            </w:tcBorders>
            <w:shd w:val="clear" w:color="auto" w:fill="auto"/>
            <w:vAlign w:val="center"/>
            <w:hideMark/>
          </w:tcPr>
          <w:p w14:paraId="41E3E222" w14:textId="77777777" w:rsidR="008470E0" w:rsidRPr="00025B31" w:rsidRDefault="008470E0" w:rsidP="004B4AC2">
            <w:pPr>
              <w:jc w:val="right"/>
              <w:rPr>
                <w:rFonts w:cs="Arial"/>
                <w:sz w:val="20"/>
                <w:lang w:eastAsia="en-GB"/>
              </w:rPr>
            </w:pPr>
            <w:r w:rsidRPr="00025B31">
              <w:rPr>
                <w:rFonts w:cs="Arial"/>
                <w:sz w:val="20"/>
                <w:lang w:eastAsia="en-GB"/>
              </w:rPr>
              <w:t>0 </w:t>
            </w:r>
          </w:p>
        </w:tc>
      </w:tr>
      <w:tr w:rsidR="008470E0" w:rsidRPr="007B6DBF" w14:paraId="51EB3159"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2290707" w14:textId="77777777" w:rsidR="008470E0" w:rsidRPr="00025B31" w:rsidRDefault="008470E0" w:rsidP="004B4AC2">
            <w:pPr>
              <w:rPr>
                <w:rFonts w:cs="Arial"/>
                <w:sz w:val="20"/>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6AFF55A8" w14:textId="77777777" w:rsidR="008470E0" w:rsidRPr="00025B31" w:rsidRDefault="008470E0" w:rsidP="004B4AC2">
            <w:pPr>
              <w:jc w:val="right"/>
              <w:rPr>
                <w:rFonts w:cs="Arial"/>
                <w:sz w:val="20"/>
                <w:lang w:eastAsia="en-GB"/>
              </w:rPr>
            </w:pPr>
          </w:p>
        </w:tc>
        <w:tc>
          <w:tcPr>
            <w:tcW w:w="992" w:type="dxa"/>
            <w:tcBorders>
              <w:top w:val="nil"/>
              <w:left w:val="nil"/>
              <w:bottom w:val="single" w:sz="4" w:space="0" w:color="auto"/>
              <w:right w:val="single" w:sz="4" w:space="0" w:color="auto"/>
            </w:tcBorders>
            <w:shd w:val="clear" w:color="auto" w:fill="auto"/>
            <w:vAlign w:val="center"/>
            <w:hideMark/>
          </w:tcPr>
          <w:p w14:paraId="6085FE1F"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993" w:type="dxa"/>
            <w:tcBorders>
              <w:top w:val="nil"/>
              <w:left w:val="nil"/>
              <w:bottom w:val="single" w:sz="4" w:space="0" w:color="auto"/>
              <w:right w:val="single" w:sz="4" w:space="0" w:color="auto"/>
            </w:tcBorders>
            <w:shd w:val="clear" w:color="auto" w:fill="auto"/>
            <w:vAlign w:val="center"/>
            <w:hideMark/>
          </w:tcPr>
          <w:p w14:paraId="0F72E147"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4539177E"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1147" w:type="dxa"/>
            <w:tcBorders>
              <w:top w:val="nil"/>
              <w:left w:val="nil"/>
              <w:bottom w:val="single" w:sz="4" w:space="0" w:color="auto"/>
              <w:right w:val="single" w:sz="4" w:space="0" w:color="auto"/>
            </w:tcBorders>
            <w:shd w:val="clear" w:color="auto" w:fill="auto"/>
            <w:vAlign w:val="center"/>
            <w:hideMark/>
          </w:tcPr>
          <w:p w14:paraId="3A47072E" w14:textId="77777777" w:rsidR="008470E0" w:rsidRPr="00025B31" w:rsidRDefault="008470E0" w:rsidP="004B4AC2">
            <w:pPr>
              <w:jc w:val="right"/>
              <w:rPr>
                <w:rFonts w:cs="Arial"/>
                <w:sz w:val="20"/>
                <w:lang w:eastAsia="en-GB"/>
              </w:rPr>
            </w:pPr>
            <w:r w:rsidRPr="00025B31">
              <w:rPr>
                <w:rFonts w:cs="Arial"/>
                <w:sz w:val="20"/>
                <w:lang w:eastAsia="en-GB"/>
              </w:rPr>
              <w:t> </w:t>
            </w:r>
          </w:p>
        </w:tc>
      </w:tr>
      <w:tr w:rsidR="008470E0" w:rsidRPr="007B6DBF" w14:paraId="54AB6AC1"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6D101AB" w14:textId="77777777" w:rsidR="008470E0" w:rsidRPr="00025B31" w:rsidRDefault="008470E0" w:rsidP="004B4AC2">
            <w:pPr>
              <w:rPr>
                <w:rFonts w:cs="Arial"/>
                <w:sz w:val="20"/>
                <w:lang w:eastAsia="en-GB"/>
              </w:rPr>
            </w:pPr>
            <w:r w:rsidRPr="00025B31">
              <w:rPr>
                <w:rFonts w:cs="Arial"/>
                <w:sz w:val="20"/>
                <w:lang w:eastAsia="en-GB"/>
              </w:rPr>
              <w:t>Balance c/</w:t>
            </w:r>
            <w:proofErr w:type="spellStart"/>
            <w:r w:rsidRPr="00025B31">
              <w:rPr>
                <w:rFonts w:cs="Arial"/>
                <w:sz w:val="20"/>
                <w:lang w:eastAsia="en-GB"/>
              </w:rPr>
              <w:t>fwd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B39CAE5" w14:textId="77777777" w:rsidR="008470E0" w:rsidRPr="00025B31" w:rsidRDefault="008470E0" w:rsidP="004B4AC2">
            <w:pPr>
              <w:jc w:val="right"/>
              <w:rPr>
                <w:rFonts w:cs="Arial"/>
                <w:sz w:val="20"/>
                <w:lang w:eastAsia="en-GB"/>
              </w:rPr>
            </w:pPr>
            <w:r w:rsidRPr="00025B31">
              <w:rPr>
                <w:rFonts w:cs="Arial"/>
                <w:sz w:val="20"/>
                <w:lang w:eastAsia="en-GB"/>
              </w:rPr>
              <w:t>-6,273</w:t>
            </w:r>
          </w:p>
        </w:tc>
        <w:tc>
          <w:tcPr>
            <w:tcW w:w="992" w:type="dxa"/>
            <w:tcBorders>
              <w:top w:val="nil"/>
              <w:left w:val="nil"/>
              <w:bottom w:val="single" w:sz="4" w:space="0" w:color="auto"/>
              <w:right w:val="single" w:sz="4" w:space="0" w:color="auto"/>
            </w:tcBorders>
            <w:shd w:val="clear" w:color="auto" w:fill="auto"/>
            <w:vAlign w:val="center"/>
            <w:hideMark/>
          </w:tcPr>
          <w:p w14:paraId="5329A1DC"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993" w:type="dxa"/>
            <w:tcBorders>
              <w:top w:val="nil"/>
              <w:left w:val="nil"/>
              <w:bottom w:val="single" w:sz="4" w:space="0" w:color="auto"/>
              <w:right w:val="single" w:sz="4" w:space="0" w:color="auto"/>
            </w:tcBorders>
            <w:shd w:val="clear" w:color="auto" w:fill="auto"/>
            <w:vAlign w:val="center"/>
            <w:hideMark/>
          </w:tcPr>
          <w:p w14:paraId="7F33599F"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70022DC2"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1147" w:type="dxa"/>
            <w:tcBorders>
              <w:top w:val="nil"/>
              <w:left w:val="nil"/>
              <w:bottom w:val="single" w:sz="4" w:space="0" w:color="auto"/>
              <w:right w:val="single" w:sz="4" w:space="0" w:color="auto"/>
            </w:tcBorders>
            <w:shd w:val="clear" w:color="auto" w:fill="auto"/>
            <w:vAlign w:val="center"/>
            <w:hideMark/>
          </w:tcPr>
          <w:p w14:paraId="1EA25534" w14:textId="77777777" w:rsidR="008470E0" w:rsidRPr="00025B31" w:rsidRDefault="008470E0" w:rsidP="004B4AC2">
            <w:pPr>
              <w:jc w:val="right"/>
              <w:rPr>
                <w:rFonts w:cs="Arial"/>
                <w:sz w:val="20"/>
                <w:lang w:eastAsia="en-GB"/>
              </w:rPr>
            </w:pPr>
            <w:r w:rsidRPr="00025B31">
              <w:rPr>
                <w:rFonts w:cs="Arial"/>
                <w:sz w:val="20"/>
                <w:lang w:eastAsia="en-GB"/>
              </w:rPr>
              <w:t>0</w:t>
            </w:r>
          </w:p>
        </w:tc>
      </w:tr>
    </w:tbl>
    <w:p w14:paraId="78C96857" w14:textId="77777777" w:rsidR="008470E0" w:rsidRDefault="008470E0" w:rsidP="008470E0">
      <w:pPr>
        <w:ind w:firstLine="567"/>
        <w:jc w:val="both"/>
        <w:rPr>
          <w:rFonts w:cs="Arial"/>
          <w:b/>
          <w:bCs/>
          <w:szCs w:val="24"/>
        </w:rPr>
      </w:pPr>
    </w:p>
    <w:p w14:paraId="46A800CF" w14:textId="665C2A23" w:rsidR="008470E0" w:rsidRPr="00562CE9" w:rsidRDefault="008470E0" w:rsidP="008470E0">
      <w:pPr>
        <w:ind w:firstLine="567"/>
        <w:jc w:val="both"/>
        <w:rPr>
          <w:rFonts w:cs="Arial"/>
        </w:rPr>
      </w:pPr>
      <w:r w:rsidRPr="00562CE9">
        <w:rPr>
          <w:rFonts w:cs="Arial"/>
          <w:b/>
          <w:bCs/>
          <w:szCs w:val="24"/>
        </w:rPr>
        <w:t xml:space="preserve">CORPORATE AND TECHNICAL </w:t>
      </w:r>
    </w:p>
    <w:p w14:paraId="3633CFE7" w14:textId="77777777" w:rsidR="008470E0" w:rsidRPr="00562CE9" w:rsidRDefault="008470E0" w:rsidP="008470E0">
      <w:pPr>
        <w:pStyle w:val="ListParagraph"/>
        <w:rPr>
          <w:rFonts w:cs="Arial"/>
          <w:szCs w:val="24"/>
        </w:rPr>
      </w:pPr>
    </w:p>
    <w:p w14:paraId="7CBBAE6D" w14:textId="0A404D06" w:rsidR="008470E0" w:rsidRPr="00562CE9" w:rsidRDefault="008470E0" w:rsidP="008470E0">
      <w:pPr>
        <w:pStyle w:val="ListParagraph"/>
        <w:numPr>
          <w:ilvl w:val="0"/>
          <w:numId w:val="6"/>
        </w:numPr>
        <w:ind w:left="460" w:hanging="567"/>
        <w:jc w:val="both"/>
        <w:rPr>
          <w:rFonts w:cs="Arial"/>
          <w:b/>
          <w:bCs/>
        </w:rPr>
      </w:pPr>
      <w:r w:rsidRPr="00562CE9">
        <w:rPr>
          <w:rFonts w:cs="Arial"/>
          <w:szCs w:val="24"/>
        </w:rPr>
        <w:t>As at Q</w:t>
      </w:r>
      <w:r w:rsidR="000D0DD2">
        <w:rPr>
          <w:rFonts w:cs="Arial"/>
          <w:szCs w:val="24"/>
        </w:rPr>
        <w:t>2</w:t>
      </w:r>
      <w:r w:rsidRPr="00562CE9">
        <w:rPr>
          <w:rFonts w:cs="Arial"/>
          <w:szCs w:val="24"/>
        </w:rPr>
        <w:t xml:space="preserve"> the forecast for the </w:t>
      </w:r>
      <w:r w:rsidRPr="00562CE9">
        <w:rPr>
          <w:rFonts w:cs="Arial"/>
        </w:rPr>
        <w:t>corporate</w:t>
      </w:r>
      <w:r w:rsidRPr="00562CE9">
        <w:rPr>
          <w:rFonts w:cs="Arial"/>
          <w:bCs/>
          <w:szCs w:val="24"/>
        </w:rPr>
        <w:t xml:space="preserve"> and technical budget is a net underspend of £4.</w:t>
      </w:r>
      <w:r w:rsidR="000D0DD2">
        <w:rPr>
          <w:rFonts w:cs="Arial"/>
          <w:bCs/>
          <w:szCs w:val="24"/>
        </w:rPr>
        <w:t>364</w:t>
      </w:r>
      <w:r w:rsidRPr="00562CE9">
        <w:rPr>
          <w:rFonts w:cs="Arial"/>
          <w:bCs/>
          <w:szCs w:val="24"/>
        </w:rPr>
        <w:t>m</w:t>
      </w:r>
      <w:r w:rsidRPr="00562CE9">
        <w:rPr>
          <w:rFonts w:cs="Arial"/>
          <w:szCs w:val="24"/>
        </w:rPr>
        <w:t xml:space="preserve"> as detailed below. </w:t>
      </w:r>
    </w:p>
    <w:p w14:paraId="471F7FD0" w14:textId="77777777" w:rsidR="008470E0" w:rsidRPr="00562CE9" w:rsidRDefault="008470E0" w:rsidP="008470E0">
      <w:pPr>
        <w:pStyle w:val="ListParagraph"/>
        <w:ind w:left="460"/>
        <w:jc w:val="both"/>
        <w:rPr>
          <w:rFonts w:cs="Arial"/>
          <w:b/>
          <w:bCs/>
        </w:rPr>
      </w:pPr>
    </w:p>
    <w:p w14:paraId="1E771DEA" w14:textId="77777777" w:rsidR="008470E0" w:rsidRPr="00562CE9" w:rsidRDefault="008470E0" w:rsidP="008470E0">
      <w:pPr>
        <w:pStyle w:val="ListParagraph"/>
        <w:ind w:left="460"/>
        <w:jc w:val="both"/>
        <w:rPr>
          <w:rFonts w:cs="Arial"/>
          <w:b/>
          <w:bCs/>
        </w:rPr>
      </w:pPr>
      <w:r>
        <w:rPr>
          <w:rFonts w:cs="Arial"/>
          <w:b/>
          <w:bCs/>
        </w:rPr>
        <w:t>C</w:t>
      </w:r>
      <w:r w:rsidRPr="00562CE9">
        <w:rPr>
          <w:rFonts w:cs="Arial"/>
          <w:b/>
          <w:bCs/>
        </w:rPr>
        <w:t>orporate Items</w:t>
      </w:r>
    </w:p>
    <w:p w14:paraId="5AC35B32" w14:textId="77777777" w:rsidR="008470E0" w:rsidRPr="00562CE9" w:rsidRDefault="008470E0" w:rsidP="008470E0">
      <w:pPr>
        <w:pStyle w:val="ListParagraph"/>
        <w:ind w:left="567"/>
        <w:jc w:val="both"/>
        <w:rPr>
          <w:rFonts w:cs="Arial"/>
          <w:bCs/>
          <w:szCs w:val="24"/>
        </w:rPr>
      </w:pPr>
    </w:p>
    <w:p w14:paraId="138E680E" w14:textId="3778DC43" w:rsidR="008470E0" w:rsidRPr="00562CE9" w:rsidRDefault="008470E0" w:rsidP="008470E0">
      <w:pPr>
        <w:pStyle w:val="ListParagraph"/>
        <w:numPr>
          <w:ilvl w:val="0"/>
          <w:numId w:val="6"/>
        </w:numPr>
        <w:ind w:left="460" w:hanging="567"/>
        <w:jc w:val="both"/>
        <w:rPr>
          <w:rFonts w:cs="Arial"/>
          <w:b/>
          <w:bCs/>
        </w:rPr>
      </w:pPr>
      <w:r w:rsidRPr="00562CE9">
        <w:rPr>
          <w:rFonts w:cs="Arial"/>
          <w:szCs w:val="24"/>
        </w:rPr>
        <w:t>As at Q</w:t>
      </w:r>
      <w:r w:rsidR="000D0DD2">
        <w:rPr>
          <w:rFonts w:cs="Arial"/>
          <w:szCs w:val="24"/>
        </w:rPr>
        <w:t>2</w:t>
      </w:r>
      <w:r w:rsidRPr="00562CE9">
        <w:rPr>
          <w:rFonts w:cs="Arial"/>
          <w:szCs w:val="24"/>
        </w:rPr>
        <w:t xml:space="preserve"> the forecast for corporate items is a net overspend of £80k. This is due to increased costs related to the coroner’s court.</w:t>
      </w:r>
    </w:p>
    <w:p w14:paraId="593AA139" w14:textId="77777777" w:rsidR="008470E0" w:rsidRPr="00562CE9" w:rsidRDefault="008470E0" w:rsidP="008470E0">
      <w:pPr>
        <w:pStyle w:val="ListParagraph"/>
        <w:rPr>
          <w:rFonts w:cs="Arial"/>
          <w:b/>
          <w:bCs/>
        </w:rPr>
      </w:pPr>
    </w:p>
    <w:p w14:paraId="3947F421" w14:textId="77777777" w:rsidR="008470E0" w:rsidRPr="00562CE9" w:rsidRDefault="008470E0" w:rsidP="008470E0">
      <w:pPr>
        <w:pStyle w:val="ListParagraph"/>
        <w:ind w:left="460"/>
        <w:jc w:val="both"/>
        <w:rPr>
          <w:rFonts w:cs="Arial"/>
          <w:b/>
          <w:bCs/>
        </w:rPr>
      </w:pPr>
      <w:bookmarkStart w:id="5" w:name="_Hlk81913776"/>
      <w:r w:rsidRPr="00562CE9">
        <w:rPr>
          <w:rFonts w:cs="Arial"/>
          <w:b/>
          <w:bCs/>
        </w:rPr>
        <w:t>Investment Properties</w:t>
      </w:r>
    </w:p>
    <w:p w14:paraId="186D6976" w14:textId="77777777" w:rsidR="008470E0" w:rsidRPr="00562CE9" w:rsidRDefault="008470E0" w:rsidP="008470E0">
      <w:pPr>
        <w:pStyle w:val="ListParagraph"/>
        <w:rPr>
          <w:rFonts w:cs="Arial"/>
          <w:b/>
          <w:bCs/>
        </w:rPr>
      </w:pPr>
    </w:p>
    <w:p w14:paraId="387394AE" w14:textId="6CCE80F1" w:rsidR="008470E0" w:rsidRPr="00562CE9" w:rsidRDefault="008470E0" w:rsidP="008470E0">
      <w:pPr>
        <w:pStyle w:val="ListParagraph"/>
        <w:numPr>
          <w:ilvl w:val="0"/>
          <w:numId w:val="6"/>
        </w:numPr>
        <w:ind w:left="460" w:hanging="567"/>
        <w:jc w:val="both"/>
        <w:rPr>
          <w:rFonts w:cs="Arial"/>
          <w:b/>
          <w:bCs/>
        </w:rPr>
      </w:pPr>
      <w:r w:rsidRPr="00562CE9">
        <w:rPr>
          <w:rFonts w:cs="Arial"/>
        </w:rPr>
        <w:t>As at Q</w:t>
      </w:r>
      <w:r w:rsidR="000D0DD2">
        <w:rPr>
          <w:rFonts w:cs="Arial"/>
        </w:rPr>
        <w:t>2</w:t>
      </w:r>
      <w:r w:rsidRPr="00562CE9">
        <w:rPr>
          <w:rFonts w:cs="Arial"/>
        </w:rPr>
        <w:t xml:space="preserve"> the forecast for investment properties is a net overspend of £80k. This is due to vacant space which results in loss of rental income.</w:t>
      </w:r>
    </w:p>
    <w:p w14:paraId="451BB59F" w14:textId="77777777" w:rsidR="008470E0" w:rsidRPr="00562CE9" w:rsidRDefault="008470E0" w:rsidP="008470E0">
      <w:pPr>
        <w:pStyle w:val="ListParagraph"/>
        <w:rPr>
          <w:rFonts w:cs="Arial"/>
          <w:b/>
          <w:bCs/>
        </w:rPr>
      </w:pPr>
    </w:p>
    <w:p w14:paraId="53136981"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 xml:space="preserve">From 2015 to 2019 the Council acquired seven investment properties at a cost of £48.2m. The portfolio consists of warehouses and other commercial and residential properties across the UK, as well as an office block in Harrow. </w:t>
      </w:r>
    </w:p>
    <w:p w14:paraId="2AC3646A" w14:textId="77777777" w:rsidR="008470E0" w:rsidRPr="00562CE9" w:rsidRDefault="008470E0" w:rsidP="008470E0">
      <w:pPr>
        <w:pStyle w:val="ListParagraph"/>
        <w:ind w:left="460"/>
        <w:jc w:val="both"/>
        <w:rPr>
          <w:rFonts w:cs="Arial"/>
          <w:szCs w:val="24"/>
          <w:lang w:val="en-US"/>
        </w:rPr>
      </w:pPr>
    </w:p>
    <w:p w14:paraId="24EFF53A"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lastRenderedPageBreak/>
        <w:t>At acquisition, the net yield was estimated at 2.31% (gross yield 7.3%) for all but the office block Kings House (net yield 0.9% and gross yield 5.9%) which was also purchased as a land acquisition for potential regeneration. The return from investment properties was included in the MTFS.</w:t>
      </w:r>
    </w:p>
    <w:p w14:paraId="249F66D2" w14:textId="77777777" w:rsidR="008470E0" w:rsidRPr="00562CE9" w:rsidRDefault="008470E0" w:rsidP="008470E0">
      <w:pPr>
        <w:pStyle w:val="ListParagraph"/>
        <w:rPr>
          <w:rFonts w:cs="Arial"/>
        </w:rPr>
      </w:pPr>
    </w:p>
    <w:p w14:paraId="12385B56"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The projected return from all but Kings House is currently on target despite COVID-19. There is vacant space in Kings House – part of the 3</w:t>
      </w:r>
      <w:r w:rsidRPr="00562CE9">
        <w:rPr>
          <w:rFonts w:cs="Arial"/>
          <w:vertAlign w:val="superscript"/>
        </w:rPr>
        <w:t>rd</w:t>
      </w:r>
      <w:r w:rsidRPr="00562CE9">
        <w:rPr>
          <w:rFonts w:cs="Arial"/>
        </w:rPr>
        <w:t xml:space="preserve"> floor has been vacant since acquisition and the remainder of the 3</w:t>
      </w:r>
      <w:r w:rsidRPr="00562CE9">
        <w:rPr>
          <w:rFonts w:cs="Arial"/>
          <w:vertAlign w:val="superscript"/>
        </w:rPr>
        <w:t>rd</w:t>
      </w:r>
      <w:r w:rsidRPr="00562CE9">
        <w:rPr>
          <w:rFonts w:cs="Arial"/>
        </w:rPr>
        <w:t xml:space="preserve"> floor became vacant in December 2020. This results in loss of rental receipts and the additional cost such as business rates and service charges which falls back to the council.</w:t>
      </w:r>
    </w:p>
    <w:p w14:paraId="1714ABF1" w14:textId="77777777" w:rsidR="008470E0" w:rsidRPr="00562CE9" w:rsidRDefault="008470E0" w:rsidP="008470E0">
      <w:pPr>
        <w:pStyle w:val="ListParagraph"/>
        <w:rPr>
          <w:rFonts w:cs="Arial"/>
        </w:rPr>
      </w:pPr>
    </w:p>
    <w:p w14:paraId="0F14EAC9"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The annual estimated impact of vacant space at Kings House in 2021/22 is a loss of rental income of £395k.</w:t>
      </w:r>
      <w:r>
        <w:rPr>
          <w:rFonts w:cs="Arial"/>
        </w:rPr>
        <w:t xml:space="preserve"> This is partly offset by earlier investment purchases achieving returns over and above their target hence the overall investment property pressure is forecast at £80k. </w:t>
      </w:r>
    </w:p>
    <w:p w14:paraId="307FD745" w14:textId="77777777" w:rsidR="008470E0" w:rsidRPr="00562CE9" w:rsidRDefault="008470E0" w:rsidP="008470E0">
      <w:pPr>
        <w:pStyle w:val="ListParagraph"/>
        <w:rPr>
          <w:rFonts w:cs="Arial"/>
        </w:rPr>
      </w:pPr>
    </w:p>
    <w:p w14:paraId="33723906"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If this pressure materialises the council can call on the investment property reserve to mitigate this.</w:t>
      </w:r>
    </w:p>
    <w:p w14:paraId="4002758B" w14:textId="77777777" w:rsidR="008470E0" w:rsidRPr="00A576F8" w:rsidRDefault="008470E0" w:rsidP="008470E0">
      <w:pPr>
        <w:pStyle w:val="ListParagraph"/>
        <w:ind w:left="460"/>
        <w:jc w:val="both"/>
        <w:rPr>
          <w:rFonts w:cs="Arial"/>
          <w:b/>
          <w:bCs/>
          <w:color w:val="FF0000"/>
        </w:rPr>
      </w:pPr>
    </w:p>
    <w:bookmarkEnd w:id="5"/>
    <w:p w14:paraId="39643195" w14:textId="77777777" w:rsidR="008470E0" w:rsidRPr="00E81AC5" w:rsidRDefault="008470E0" w:rsidP="008470E0">
      <w:pPr>
        <w:pStyle w:val="ListParagraph"/>
        <w:tabs>
          <w:tab w:val="left" w:pos="1276"/>
        </w:tabs>
        <w:ind w:left="1134" w:hanging="567"/>
        <w:jc w:val="both"/>
        <w:rPr>
          <w:rFonts w:cs="Arial"/>
          <w:b/>
          <w:szCs w:val="24"/>
          <w:lang w:val="en-US"/>
        </w:rPr>
      </w:pPr>
      <w:r>
        <w:rPr>
          <w:rFonts w:cs="Arial"/>
          <w:b/>
          <w:szCs w:val="24"/>
        </w:rPr>
        <w:t>Transformation Savings</w:t>
      </w:r>
    </w:p>
    <w:p w14:paraId="53CF0409" w14:textId="77777777" w:rsidR="008470E0" w:rsidRPr="00E81AC5" w:rsidRDefault="008470E0" w:rsidP="008470E0">
      <w:pPr>
        <w:pStyle w:val="ListParagraph"/>
        <w:tabs>
          <w:tab w:val="left" w:pos="142"/>
        </w:tabs>
        <w:ind w:left="567"/>
        <w:jc w:val="both"/>
        <w:rPr>
          <w:rFonts w:cs="Arial"/>
        </w:rPr>
      </w:pPr>
    </w:p>
    <w:p w14:paraId="47DA9E1E" w14:textId="77777777" w:rsidR="008470E0" w:rsidRPr="00B636E3" w:rsidRDefault="008470E0" w:rsidP="008470E0">
      <w:pPr>
        <w:pStyle w:val="ListParagraph"/>
        <w:numPr>
          <w:ilvl w:val="0"/>
          <w:numId w:val="6"/>
        </w:numPr>
        <w:ind w:left="460" w:hanging="567"/>
        <w:jc w:val="both"/>
        <w:rPr>
          <w:rFonts w:cs="Arial"/>
        </w:rPr>
      </w:pPr>
      <w:bookmarkStart w:id="6" w:name="_Hlk81914961"/>
      <w:r>
        <w:rPr>
          <w:rFonts w:cs="Arial"/>
          <w:bCs/>
          <w:szCs w:val="24"/>
        </w:rPr>
        <w:t>As at Q1 the transformation savings target of £1m is reporting an adverse variance as the target will not be met.</w:t>
      </w:r>
    </w:p>
    <w:bookmarkEnd w:id="6"/>
    <w:p w14:paraId="28F0BE5D" w14:textId="77777777" w:rsidR="008470E0" w:rsidRPr="008B0567" w:rsidRDefault="008470E0" w:rsidP="008470E0">
      <w:pPr>
        <w:pStyle w:val="ListParagraph"/>
        <w:ind w:left="1418"/>
        <w:jc w:val="both"/>
        <w:rPr>
          <w:rFonts w:cs="Arial"/>
          <w:bCs/>
          <w:szCs w:val="24"/>
        </w:rPr>
      </w:pPr>
    </w:p>
    <w:p w14:paraId="36C3CAFB" w14:textId="77777777" w:rsidR="008470E0" w:rsidRPr="008B0567" w:rsidRDefault="008470E0" w:rsidP="008470E0">
      <w:pPr>
        <w:pStyle w:val="ListParagraph"/>
        <w:tabs>
          <w:tab w:val="left" w:pos="1276"/>
        </w:tabs>
        <w:ind w:left="1134" w:hanging="567"/>
        <w:jc w:val="both"/>
        <w:rPr>
          <w:rFonts w:cs="Arial"/>
          <w:b/>
          <w:szCs w:val="24"/>
          <w:lang w:val="en-US"/>
        </w:rPr>
      </w:pPr>
      <w:r w:rsidRPr="008B0567">
        <w:rPr>
          <w:rFonts w:cs="Arial"/>
          <w:b/>
          <w:szCs w:val="24"/>
        </w:rPr>
        <w:t>Covid-19 Grants &amp; Income</w:t>
      </w:r>
    </w:p>
    <w:p w14:paraId="104EC6D1" w14:textId="77777777" w:rsidR="008470E0" w:rsidRPr="008B0567" w:rsidRDefault="008470E0" w:rsidP="008470E0">
      <w:pPr>
        <w:pStyle w:val="ListParagraph"/>
        <w:tabs>
          <w:tab w:val="left" w:pos="142"/>
        </w:tabs>
        <w:ind w:left="567"/>
        <w:jc w:val="both"/>
        <w:rPr>
          <w:rFonts w:cs="Arial"/>
        </w:rPr>
      </w:pPr>
    </w:p>
    <w:p w14:paraId="392E0C47" w14:textId="77777777" w:rsidR="008470E0" w:rsidRPr="008B0567" w:rsidRDefault="008470E0" w:rsidP="008470E0">
      <w:pPr>
        <w:pStyle w:val="ListParagraph"/>
        <w:numPr>
          <w:ilvl w:val="0"/>
          <w:numId w:val="6"/>
        </w:numPr>
        <w:ind w:left="460" w:hanging="567"/>
        <w:jc w:val="both"/>
        <w:rPr>
          <w:rFonts w:cs="Arial"/>
        </w:rPr>
      </w:pPr>
      <w:r w:rsidRPr="008B0567">
        <w:rPr>
          <w:rFonts w:cs="Arial"/>
          <w:bCs/>
          <w:szCs w:val="24"/>
        </w:rPr>
        <w:t>In 2021/22 the council will receive the following Covid-19 grants and income as shown at Table 3</w:t>
      </w:r>
    </w:p>
    <w:p w14:paraId="47C60772" w14:textId="77777777" w:rsidR="008470E0" w:rsidRPr="008B0567" w:rsidRDefault="008470E0" w:rsidP="008470E0">
      <w:pPr>
        <w:jc w:val="both"/>
        <w:rPr>
          <w:rFonts w:cs="Arial"/>
        </w:rPr>
      </w:pPr>
    </w:p>
    <w:p w14:paraId="3CBB63A4" w14:textId="77777777" w:rsidR="003774CC" w:rsidRDefault="003774CC" w:rsidP="008470E0">
      <w:pPr>
        <w:ind w:left="460"/>
        <w:jc w:val="both"/>
        <w:rPr>
          <w:rFonts w:cs="Arial"/>
          <w:b/>
          <w:bCs/>
          <w:u w:val="single"/>
        </w:rPr>
      </w:pPr>
    </w:p>
    <w:p w14:paraId="131877EF" w14:textId="78D5CA36" w:rsidR="008470E0" w:rsidRPr="008B0567" w:rsidRDefault="008470E0" w:rsidP="008470E0">
      <w:pPr>
        <w:ind w:left="460"/>
        <w:jc w:val="both"/>
        <w:rPr>
          <w:rFonts w:cs="Arial"/>
          <w:b/>
          <w:bCs/>
          <w:u w:val="single"/>
        </w:rPr>
      </w:pPr>
      <w:r w:rsidRPr="008B0567">
        <w:rPr>
          <w:rFonts w:cs="Arial"/>
          <w:b/>
          <w:bCs/>
          <w:u w:val="single"/>
        </w:rPr>
        <w:t>Table 3 – Covid-19 Grants &amp; Income</w:t>
      </w:r>
    </w:p>
    <w:p w14:paraId="2CBDC54C" w14:textId="77777777" w:rsidR="008470E0" w:rsidRPr="008B0567" w:rsidRDefault="008470E0" w:rsidP="008470E0">
      <w:pPr>
        <w:pStyle w:val="ListParagraph"/>
        <w:ind w:left="1418"/>
        <w:jc w:val="both"/>
        <w:rPr>
          <w:rFonts w:cs="Arial"/>
          <w:bCs/>
          <w:szCs w:val="24"/>
        </w:rPr>
      </w:pPr>
    </w:p>
    <w:tbl>
      <w:tblPr>
        <w:tblStyle w:val="TableGrid"/>
        <w:tblW w:w="0" w:type="auto"/>
        <w:tblInd w:w="421" w:type="dxa"/>
        <w:tblLook w:val="04A0" w:firstRow="1" w:lastRow="0" w:firstColumn="1" w:lastColumn="0" w:noHBand="0" w:noVBand="1"/>
      </w:tblPr>
      <w:tblGrid>
        <w:gridCol w:w="6656"/>
        <w:gridCol w:w="1222"/>
      </w:tblGrid>
      <w:tr w:rsidR="008470E0" w:rsidRPr="008B0567" w14:paraId="43A63053" w14:textId="77777777" w:rsidTr="004B4AC2">
        <w:tc>
          <w:tcPr>
            <w:tcW w:w="7512" w:type="dxa"/>
          </w:tcPr>
          <w:p w14:paraId="0746B44D" w14:textId="77777777" w:rsidR="008470E0" w:rsidRPr="008B0567" w:rsidRDefault="008470E0" w:rsidP="004B4AC2">
            <w:pPr>
              <w:pStyle w:val="ListParagraph"/>
              <w:ind w:left="0"/>
              <w:jc w:val="both"/>
              <w:rPr>
                <w:rFonts w:cs="Arial"/>
                <w:b/>
                <w:szCs w:val="24"/>
              </w:rPr>
            </w:pPr>
            <w:r w:rsidRPr="008B0567">
              <w:rPr>
                <w:rFonts w:cs="Arial"/>
                <w:b/>
                <w:szCs w:val="24"/>
              </w:rPr>
              <w:t>Description</w:t>
            </w:r>
          </w:p>
        </w:tc>
        <w:tc>
          <w:tcPr>
            <w:tcW w:w="1271" w:type="dxa"/>
          </w:tcPr>
          <w:p w14:paraId="3E7FB096" w14:textId="77777777" w:rsidR="008470E0" w:rsidRPr="008B0567" w:rsidRDefault="008470E0" w:rsidP="004B4AC2">
            <w:pPr>
              <w:pStyle w:val="ListParagraph"/>
              <w:ind w:left="0"/>
              <w:jc w:val="right"/>
              <w:rPr>
                <w:rFonts w:cs="Arial"/>
                <w:b/>
                <w:szCs w:val="24"/>
              </w:rPr>
            </w:pPr>
            <w:r w:rsidRPr="008B0567">
              <w:rPr>
                <w:rFonts w:cs="Arial"/>
                <w:b/>
                <w:szCs w:val="24"/>
              </w:rPr>
              <w:t>£000</w:t>
            </w:r>
          </w:p>
        </w:tc>
      </w:tr>
      <w:tr w:rsidR="008470E0" w:rsidRPr="008B0567" w14:paraId="6B46531F" w14:textId="77777777" w:rsidTr="004B4AC2">
        <w:tc>
          <w:tcPr>
            <w:tcW w:w="7512" w:type="dxa"/>
          </w:tcPr>
          <w:p w14:paraId="5998C514" w14:textId="77777777" w:rsidR="008470E0" w:rsidRPr="008B0567" w:rsidRDefault="008470E0" w:rsidP="004B4AC2">
            <w:pPr>
              <w:pStyle w:val="ListParagraph"/>
              <w:ind w:left="0"/>
              <w:jc w:val="both"/>
              <w:rPr>
                <w:rFonts w:cs="Arial"/>
                <w:bCs/>
                <w:szCs w:val="24"/>
              </w:rPr>
            </w:pPr>
            <w:r w:rsidRPr="008B0567">
              <w:rPr>
                <w:rFonts w:cs="Arial"/>
                <w:bCs/>
                <w:szCs w:val="24"/>
              </w:rPr>
              <w:t>Covid-19 Expenditure Pressures Grant 2021/22</w:t>
            </w:r>
          </w:p>
        </w:tc>
        <w:tc>
          <w:tcPr>
            <w:tcW w:w="1271" w:type="dxa"/>
          </w:tcPr>
          <w:p w14:paraId="54CD83CE" w14:textId="77777777" w:rsidR="008470E0" w:rsidRPr="008B0567" w:rsidRDefault="008470E0" w:rsidP="004B4AC2">
            <w:pPr>
              <w:pStyle w:val="ListParagraph"/>
              <w:ind w:left="0"/>
              <w:jc w:val="right"/>
              <w:rPr>
                <w:rFonts w:cs="Arial"/>
                <w:bCs/>
                <w:szCs w:val="24"/>
              </w:rPr>
            </w:pPr>
            <w:r w:rsidRPr="008B0567">
              <w:rPr>
                <w:rFonts w:cs="Arial"/>
                <w:bCs/>
                <w:szCs w:val="24"/>
              </w:rPr>
              <w:t>6,051</w:t>
            </w:r>
          </w:p>
        </w:tc>
      </w:tr>
      <w:tr w:rsidR="008470E0" w:rsidRPr="008B0567" w14:paraId="3C195B4F" w14:textId="77777777" w:rsidTr="004B4AC2">
        <w:tc>
          <w:tcPr>
            <w:tcW w:w="7512" w:type="dxa"/>
          </w:tcPr>
          <w:p w14:paraId="03EFAB93" w14:textId="77777777" w:rsidR="008470E0" w:rsidRPr="008B0567" w:rsidRDefault="008470E0" w:rsidP="004B4AC2">
            <w:pPr>
              <w:pStyle w:val="ListParagraph"/>
              <w:ind w:left="0"/>
              <w:jc w:val="both"/>
              <w:rPr>
                <w:rFonts w:cs="Arial"/>
                <w:bCs/>
                <w:szCs w:val="24"/>
              </w:rPr>
            </w:pPr>
            <w:r w:rsidRPr="008B0567">
              <w:rPr>
                <w:rFonts w:cs="Arial"/>
                <w:bCs/>
                <w:szCs w:val="24"/>
              </w:rPr>
              <w:t>Controlling Outbreak Management Fund</w:t>
            </w:r>
          </w:p>
        </w:tc>
        <w:tc>
          <w:tcPr>
            <w:tcW w:w="1271" w:type="dxa"/>
          </w:tcPr>
          <w:p w14:paraId="1C95DBAE" w14:textId="77777777" w:rsidR="008470E0" w:rsidRPr="008B0567" w:rsidRDefault="008470E0" w:rsidP="004B4AC2">
            <w:pPr>
              <w:pStyle w:val="ListParagraph"/>
              <w:ind w:left="0"/>
              <w:jc w:val="right"/>
              <w:rPr>
                <w:rFonts w:cs="Arial"/>
                <w:bCs/>
                <w:szCs w:val="24"/>
              </w:rPr>
            </w:pPr>
          </w:p>
        </w:tc>
      </w:tr>
      <w:tr w:rsidR="008470E0" w:rsidRPr="008B0567" w14:paraId="2508E73F" w14:textId="77777777" w:rsidTr="004B4AC2">
        <w:tc>
          <w:tcPr>
            <w:tcW w:w="7512" w:type="dxa"/>
          </w:tcPr>
          <w:p w14:paraId="33D0A8E9" w14:textId="77777777" w:rsidR="008470E0" w:rsidRPr="008B0567" w:rsidRDefault="008470E0" w:rsidP="008470E0">
            <w:pPr>
              <w:pStyle w:val="ListParagraph"/>
              <w:numPr>
                <w:ilvl w:val="0"/>
                <w:numId w:val="16"/>
              </w:numPr>
              <w:jc w:val="both"/>
              <w:rPr>
                <w:rFonts w:cs="Arial"/>
                <w:bCs/>
                <w:szCs w:val="24"/>
              </w:rPr>
            </w:pPr>
            <w:r w:rsidRPr="008B0567">
              <w:rPr>
                <w:rFonts w:cs="Arial"/>
                <w:bCs/>
                <w:szCs w:val="24"/>
              </w:rPr>
              <w:t>2020/21 brought forward</w:t>
            </w:r>
          </w:p>
        </w:tc>
        <w:tc>
          <w:tcPr>
            <w:tcW w:w="1271" w:type="dxa"/>
          </w:tcPr>
          <w:p w14:paraId="66ECC9DC" w14:textId="77777777" w:rsidR="008470E0" w:rsidRPr="008B0567" w:rsidRDefault="008470E0" w:rsidP="004B4AC2">
            <w:pPr>
              <w:pStyle w:val="ListParagraph"/>
              <w:ind w:left="0"/>
              <w:jc w:val="right"/>
              <w:rPr>
                <w:rFonts w:cs="Arial"/>
                <w:bCs/>
                <w:szCs w:val="24"/>
              </w:rPr>
            </w:pPr>
            <w:r w:rsidRPr="008B0567">
              <w:rPr>
                <w:rFonts w:cs="Arial"/>
                <w:bCs/>
                <w:szCs w:val="24"/>
              </w:rPr>
              <w:t>1,503</w:t>
            </w:r>
          </w:p>
        </w:tc>
      </w:tr>
      <w:tr w:rsidR="008470E0" w:rsidRPr="008B0567" w14:paraId="736FB204" w14:textId="77777777" w:rsidTr="004B4AC2">
        <w:tc>
          <w:tcPr>
            <w:tcW w:w="7512" w:type="dxa"/>
          </w:tcPr>
          <w:p w14:paraId="619C2C0F" w14:textId="77777777" w:rsidR="008470E0" w:rsidRPr="008B0567" w:rsidRDefault="008470E0" w:rsidP="008470E0">
            <w:pPr>
              <w:pStyle w:val="ListParagraph"/>
              <w:numPr>
                <w:ilvl w:val="0"/>
                <w:numId w:val="16"/>
              </w:numPr>
              <w:jc w:val="both"/>
              <w:rPr>
                <w:rFonts w:cs="Arial"/>
                <w:bCs/>
                <w:szCs w:val="24"/>
              </w:rPr>
            </w:pPr>
            <w:r w:rsidRPr="008B0567">
              <w:rPr>
                <w:rFonts w:cs="Arial"/>
                <w:bCs/>
                <w:szCs w:val="24"/>
              </w:rPr>
              <w:t>2021/22 allocation</w:t>
            </w:r>
          </w:p>
        </w:tc>
        <w:tc>
          <w:tcPr>
            <w:tcW w:w="1271" w:type="dxa"/>
          </w:tcPr>
          <w:p w14:paraId="3F5322ED" w14:textId="77777777" w:rsidR="008470E0" w:rsidRPr="008B0567" w:rsidRDefault="008470E0" w:rsidP="004B4AC2">
            <w:pPr>
              <w:pStyle w:val="ListParagraph"/>
              <w:ind w:left="0"/>
              <w:jc w:val="right"/>
              <w:rPr>
                <w:rFonts w:cs="Arial"/>
                <w:bCs/>
                <w:szCs w:val="24"/>
              </w:rPr>
            </w:pPr>
            <w:r w:rsidRPr="008B0567">
              <w:rPr>
                <w:rFonts w:cs="Arial"/>
                <w:bCs/>
                <w:szCs w:val="24"/>
              </w:rPr>
              <w:t>2,100</w:t>
            </w:r>
          </w:p>
        </w:tc>
      </w:tr>
      <w:tr w:rsidR="008470E0" w:rsidRPr="008B0567" w14:paraId="35557324" w14:textId="77777777" w:rsidTr="004B4AC2">
        <w:tc>
          <w:tcPr>
            <w:tcW w:w="7512" w:type="dxa"/>
          </w:tcPr>
          <w:p w14:paraId="1F0D2E14" w14:textId="77777777" w:rsidR="008470E0" w:rsidRPr="008B0567" w:rsidRDefault="008470E0" w:rsidP="004B4AC2">
            <w:pPr>
              <w:pStyle w:val="ListParagraph"/>
              <w:ind w:left="0"/>
              <w:jc w:val="both"/>
              <w:rPr>
                <w:rFonts w:cs="Arial"/>
                <w:bCs/>
                <w:szCs w:val="24"/>
              </w:rPr>
            </w:pPr>
            <w:r w:rsidRPr="008B0567">
              <w:rPr>
                <w:rFonts w:cs="Arial"/>
                <w:bCs/>
                <w:szCs w:val="24"/>
              </w:rPr>
              <w:t>Compensation for loss of sales, fees &amp; charges</w:t>
            </w:r>
          </w:p>
        </w:tc>
        <w:tc>
          <w:tcPr>
            <w:tcW w:w="1271" w:type="dxa"/>
          </w:tcPr>
          <w:p w14:paraId="57AD7B06" w14:textId="77777777" w:rsidR="008470E0" w:rsidRPr="008B0567" w:rsidRDefault="008470E0" w:rsidP="004B4AC2">
            <w:pPr>
              <w:pStyle w:val="ListParagraph"/>
              <w:ind w:left="0"/>
              <w:jc w:val="right"/>
              <w:rPr>
                <w:rFonts w:cs="Arial"/>
                <w:bCs/>
                <w:szCs w:val="24"/>
              </w:rPr>
            </w:pPr>
            <w:r w:rsidRPr="008B0567">
              <w:rPr>
                <w:rFonts w:cs="Arial"/>
                <w:bCs/>
                <w:szCs w:val="24"/>
              </w:rPr>
              <w:t>700</w:t>
            </w:r>
          </w:p>
        </w:tc>
      </w:tr>
      <w:tr w:rsidR="008470E0" w:rsidRPr="008B0567" w14:paraId="121889DA" w14:textId="77777777" w:rsidTr="004B4AC2">
        <w:tc>
          <w:tcPr>
            <w:tcW w:w="7512" w:type="dxa"/>
          </w:tcPr>
          <w:p w14:paraId="2A2EFD61" w14:textId="77777777" w:rsidR="008470E0" w:rsidRPr="008B0567" w:rsidRDefault="008470E0" w:rsidP="004B4AC2">
            <w:pPr>
              <w:pStyle w:val="ListParagraph"/>
              <w:ind w:left="0"/>
              <w:jc w:val="both"/>
              <w:rPr>
                <w:rFonts w:cs="Arial"/>
                <w:b/>
                <w:szCs w:val="24"/>
              </w:rPr>
            </w:pPr>
            <w:r w:rsidRPr="008B0567">
              <w:rPr>
                <w:rFonts w:cs="Arial"/>
                <w:b/>
                <w:szCs w:val="24"/>
              </w:rPr>
              <w:t>Total Covid-19 grants and income</w:t>
            </w:r>
          </w:p>
        </w:tc>
        <w:tc>
          <w:tcPr>
            <w:tcW w:w="1271" w:type="dxa"/>
          </w:tcPr>
          <w:p w14:paraId="67BB28C9" w14:textId="77777777" w:rsidR="008470E0" w:rsidRPr="008B0567" w:rsidRDefault="008470E0" w:rsidP="004B4AC2">
            <w:pPr>
              <w:pStyle w:val="ListParagraph"/>
              <w:ind w:left="0"/>
              <w:jc w:val="right"/>
              <w:rPr>
                <w:rFonts w:cs="Arial"/>
                <w:b/>
                <w:szCs w:val="24"/>
              </w:rPr>
            </w:pPr>
            <w:r w:rsidRPr="008B0567">
              <w:rPr>
                <w:rFonts w:cs="Arial"/>
                <w:b/>
                <w:szCs w:val="24"/>
              </w:rPr>
              <w:t>10,354</w:t>
            </w:r>
          </w:p>
        </w:tc>
      </w:tr>
    </w:tbl>
    <w:p w14:paraId="526D3A13" w14:textId="0E374359" w:rsidR="008470E0" w:rsidRDefault="008470E0" w:rsidP="003774CC">
      <w:pPr>
        <w:jc w:val="both"/>
        <w:rPr>
          <w:rFonts w:cs="Arial"/>
          <w:bCs/>
          <w:szCs w:val="24"/>
        </w:rPr>
      </w:pPr>
    </w:p>
    <w:p w14:paraId="09CCE806" w14:textId="77777777" w:rsidR="00895DD1" w:rsidRPr="00895DD1" w:rsidRDefault="008470E0" w:rsidP="00895DD1">
      <w:pPr>
        <w:pStyle w:val="ListParagraph"/>
        <w:numPr>
          <w:ilvl w:val="0"/>
          <w:numId w:val="6"/>
        </w:numPr>
        <w:ind w:left="460" w:hanging="567"/>
        <w:jc w:val="both"/>
        <w:rPr>
          <w:rFonts w:cs="Arial"/>
        </w:rPr>
      </w:pPr>
      <w:r w:rsidRPr="008B0567">
        <w:rPr>
          <w:rFonts w:cs="Arial"/>
          <w:bCs/>
          <w:szCs w:val="24"/>
        </w:rPr>
        <w:t xml:space="preserve">The Covid-19 Expenditure Pressures Grant 2021/22 allocation of £6.051m was included in the overall 2021/22 budget on a one-off basis. Compensation for loss of sales, fees &amp; charges was also included in the budget on a one-off basis but at an estimated lower value of £500k. </w:t>
      </w:r>
    </w:p>
    <w:p w14:paraId="07F0796F" w14:textId="77777777" w:rsidR="00895DD1" w:rsidRPr="00895DD1" w:rsidRDefault="00895DD1" w:rsidP="00895DD1">
      <w:pPr>
        <w:pStyle w:val="ListParagraph"/>
        <w:ind w:left="460"/>
        <w:jc w:val="both"/>
        <w:rPr>
          <w:rFonts w:cs="Arial"/>
        </w:rPr>
      </w:pPr>
    </w:p>
    <w:p w14:paraId="4CF07044" w14:textId="723ECD9D" w:rsidR="008470E0" w:rsidRPr="008B0567" w:rsidRDefault="008470E0" w:rsidP="00895DD1">
      <w:pPr>
        <w:pStyle w:val="ListParagraph"/>
        <w:numPr>
          <w:ilvl w:val="0"/>
          <w:numId w:val="6"/>
        </w:numPr>
        <w:ind w:left="460" w:hanging="567"/>
        <w:jc w:val="both"/>
        <w:rPr>
          <w:rFonts w:cs="Arial"/>
          <w:bCs/>
          <w:szCs w:val="24"/>
        </w:rPr>
      </w:pPr>
      <w:r w:rsidRPr="00895DD1">
        <w:rPr>
          <w:rFonts w:cs="Arial"/>
          <w:bCs/>
          <w:szCs w:val="24"/>
        </w:rPr>
        <w:t>Both COMF allocations have been earmarked to additional expenditure within the directorates including enhanced cleaning, fire risk assessments, communications, Covid-19 marshals and other COMF relevant a</w:t>
      </w:r>
      <w:r w:rsidR="00895DD1">
        <w:rPr>
          <w:rFonts w:cs="Arial"/>
          <w:bCs/>
          <w:szCs w:val="24"/>
        </w:rPr>
        <w:t xml:space="preserve">ctivities. The grant is not as specific as other ringfenced grants as it can be spent against a set of criteria at the organisation’s discretion to best meet the </w:t>
      </w:r>
      <w:r w:rsidR="00895DD1">
        <w:rPr>
          <w:rFonts w:cs="Arial"/>
          <w:bCs/>
          <w:szCs w:val="24"/>
        </w:rPr>
        <w:lastRenderedPageBreak/>
        <w:t>needs of the borough. The expenditure is shown against the relevant directorate and the grant income is held corporately as it is a cross-council grant.</w:t>
      </w:r>
      <w:r w:rsidR="00895DD1">
        <w:rPr>
          <w:rFonts w:cs="Arial"/>
          <w:sz w:val="20"/>
          <w:lang w:eastAsia="en-GB"/>
        </w:rPr>
        <w:t xml:space="preserve"> </w:t>
      </w:r>
    </w:p>
    <w:p w14:paraId="1A00A396" w14:textId="77777777" w:rsidR="00C81665" w:rsidRDefault="00C81665" w:rsidP="008470E0">
      <w:pPr>
        <w:pStyle w:val="ListParagraph"/>
        <w:tabs>
          <w:tab w:val="left" w:pos="1276"/>
        </w:tabs>
        <w:ind w:left="1134" w:hanging="567"/>
        <w:jc w:val="both"/>
        <w:rPr>
          <w:rFonts w:cs="Arial"/>
          <w:b/>
          <w:szCs w:val="24"/>
        </w:rPr>
      </w:pPr>
    </w:p>
    <w:p w14:paraId="3252AF2D" w14:textId="77777777" w:rsidR="00C81665" w:rsidRDefault="00C81665" w:rsidP="008470E0">
      <w:pPr>
        <w:pStyle w:val="ListParagraph"/>
        <w:tabs>
          <w:tab w:val="left" w:pos="1276"/>
        </w:tabs>
        <w:ind w:left="1134" w:hanging="567"/>
        <w:jc w:val="both"/>
        <w:rPr>
          <w:rFonts w:cs="Arial"/>
          <w:b/>
          <w:szCs w:val="24"/>
        </w:rPr>
      </w:pPr>
    </w:p>
    <w:p w14:paraId="7867E78A" w14:textId="77777777" w:rsidR="00C81665" w:rsidRDefault="00C81665" w:rsidP="008470E0">
      <w:pPr>
        <w:pStyle w:val="ListParagraph"/>
        <w:tabs>
          <w:tab w:val="left" w:pos="1276"/>
        </w:tabs>
        <w:ind w:left="1134" w:hanging="567"/>
        <w:jc w:val="both"/>
        <w:rPr>
          <w:rFonts w:cs="Arial"/>
          <w:b/>
          <w:szCs w:val="24"/>
        </w:rPr>
      </w:pPr>
    </w:p>
    <w:p w14:paraId="3F0FB24D" w14:textId="2917280B" w:rsidR="008470E0" w:rsidRPr="008B0567" w:rsidRDefault="008470E0" w:rsidP="008470E0">
      <w:pPr>
        <w:pStyle w:val="ListParagraph"/>
        <w:tabs>
          <w:tab w:val="left" w:pos="1276"/>
        </w:tabs>
        <w:ind w:left="1134" w:hanging="567"/>
        <w:jc w:val="both"/>
        <w:rPr>
          <w:rFonts w:cs="Arial"/>
          <w:b/>
          <w:szCs w:val="24"/>
          <w:lang w:val="en-US"/>
        </w:rPr>
      </w:pPr>
      <w:r w:rsidRPr="008B0567">
        <w:rPr>
          <w:rFonts w:cs="Arial"/>
          <w:b/>
          <w:szCs w:val="24"/>
        </w:rPr>
        <w:t>Central Contingency</w:t>
      </w:r>
    </w:p>
    <w:p w14:paraId="58380665" w14:textId="77777777" w:rsidR="008470E0" w:rsidRPr="008B0567" w:rsidRDefault="008470E0" w:rsidP="008470E0">
      <w:pPr>
        <w:pStyle w:val="ListParagraph"/>
        <w:tabs>
          <w:tab w:val="left" w:pos="142"/>
        </w:tabs>
        <w:ind w:left="567"/>
        <w:jc w:val="both"/>
        <w:rPr>
          <w:rFonts w:cs="Arial"/>
        </w:rPr>
      </w:pPr>
    </w:p>
    <w:p w14:paraId="785A2309" w14:textId="77777777" w:rsidR="008470E0" w:rsidRPr="008B0567" w:rsidRDefault="008470E0" w:rsidP="008470E0">
      <w:pPr>
        <w:pStyle w:val="ListParagraph"/>
        <w:numPr>
          <w:ilvl w:val="0"/>
          <w:numId w:val="6"/>
        </w:numPr>
        <w:ind w:left="460" w:hanging="567"/>
        <w:jc w:val="both"/>
        <w:rPr>
          <w:rFonts w:cs="Arial"/>
        </w:rPr>
      </w:pPr>
      <w:r w:rsidRPr="008B0567">
        <w:rPr>
          <w:rFonts w:cs="Arial"/>
          <w:bCs/>
          <w:szCs w:val="24"/>
        </w:rPr>
        <w:t xml:space="preserve">The </w:t>
      </w:r>
      <w:r w:rsidRPr="008B0567">
        <w:rPr>
          <w:rFonts w:cs="Arial"/>
        </w:rPr>
        <w:t xml:space="preserve">central contingency of £1.248m was not required and therefore there is an underspend against this budget.  </w:t>
      </w:r>
    </w:p>
    <w:p w14:paraId="34FF0203" w14:textId="77777777" w:rsidR="008470E0" w:rsidRPr="008B0567" w:rsidRDefault="008470E0" w:rsidP="008470E0">
      <w:pPr>
        <w:pStyle w:val="ListParagraph"/>
        <w:ind w:left="709" w:hanging="142"/>
        <w:jc w:val="both"/>
        <w:rPr>
          <w:rFonts w:cs="Arial"/>
          <w:b/>
          <w:bCs/>
        </w:rPr>
      </w:pPr>
    </w:p>
    <w:p w14:paraId="35FCFCBD" w14:textId="77777777" w:rsidR="008470E0" w:rsidRPr="008B0567" w:rsidRDefault="008470E0" w:rsidP="008470E0">
      <w:pPr>
        <w:pStyle w:val="ListParagraph"/>
        <w:ind w:left="709" w:hanging="142"/>
        <w:jc w:val="both"/>
        <w:rPr>
          <w:rFonts w:cs="Arial"/>
          <w:b/>
          <w:bCs/>
        </w:rPr>
      </w:pPr>
      <w:r w:rsidRPr="008B0567">
        <w:rPr>
          <w:rFonts w:cs="Arial"/>
          <w:b/>
          <w:bCs/>
        </w:rPr>
        <w:t>Technical and Corporate Adjustments</w:t>
      </w:r>
    </w:p>
    <w:p w14:paraId="4578BBB9" w14:textId="77777777" w:rsidR="008470E0" w:rsidRPr="008B0567" w:rsidRDefault="008470E0" w:rsidP="008470E0">
      <w:pPr>
        <w:pStyle w:val="ListParagraph"/>
        <w:ind w:left="567"/>
        <w:jc w:val="both"/>
        <w:rPr>
          <w:rFonts w:cs="Arial"/>
        </w:rPr>
      </w:pPr>
    </w:p>
    <w:p w14:paraId="43C6729C" w14:textId="6C7599BD" w:rsidR="008470E0" w:rsidRPr="008B0567" w:rsidRDefault="008470E0" w:rsidP="008470E0">
      <w:pPr>
        <w:pStyle w:val="ListParagraph"/>
        <w:numPr>
          <w:ilvl w:val="0"/>
          <w:numId w:val="6"/>
        </w:numPr>
        <w:ind w:left="460" w:hanging="567"/>
        <w:jc w:val="both"/>
        <w:rPr>
          <w:rFonts w:cs="Arial"/>
        </w:rPr>
      </w:pPr>
      <w:r w:rsidRPr="008B0567">
        <w:rPr>
          <w:rFonts w:cs="Arial"/>
        </w:rPr>
        <w:t>As at Q</w:t>
      </w:r>
      <w:r w:rsidR="008B0567" w:rsidRPr="008B0567">
        <w:rPr>
          <w:rFonts w:cs="Arial"/>
        </w:rPr>
        <w:t>2</w:t>
      </w:r>
      <w:r w:rsidRPr="008B0567">
        <w:rPr>
          <w:rFonts w:cs="Arial"/>
        </w:rPr>
        <w:t xml:space="preserve"> there is a projected net underspend of £</w:t>
      </w:r>
      <w:r w:rsidR="008B0567" w:rsidRPr="008B0567">
        <w:rPr>
          <w:rFonts w:cs="Arial"/>
        </w:rPr>
        <w:t>473</w:t>
      </w:r>
      <w:r w:rsidRPr="008B0567">
        <w:rPr>
          <w:rFonts w:cs="Arial"/>
        </w:rPr>
        <w:t xml:space="preserve">k in the technical and corporate adjustments budgets which is primarily an underspend on capital financing costs and interest charges. </w:t>
      </w:r>
    </w:p>
    <w:p w14:paraId="2F27B2AC" w14:textId="77777777" w:rsidR="008470E0" w:rsidRPr="008B0567" w:rsidRDefault="008470E0" w:rsidP="008470E0">
      <w:pPr>
        <w:jc w:val="both"/>
        <w:rPr>
          <w:rFonts w:cs="Arial"/>
        </w:rPr>
      </w:pPr>
    </w:p>
    <w:p w14:paraId="57229C10" w14:textId="77777777" w:rsidR="008470E0" w:rsidRPr="008B0567" w:rsidRDefault="008470E0" w:rsidP="008470E0">
      <w:pPr>
        <w:ind w:firstLine="567"/>
        <w:jc w:val="both"/>
        <w:rPr>
          <w:rFonts w:cs="Arial"/>
          <w:b/>
          <w:bCs/>
        </w:rPr>
      </w:pPr>
      <w:r w:rsidRPr="008B0567">
        <w:rPr>
          <w:rFonts w:cs="Arial"/>
          <w:b/>
          <w:bCs/>
        </w:rPr>
        <w:t>RESERVES</w:t>
      </w:r>
    </w:p>
    <w:p w14:paraId="65CA007B" w14:textId="77777777" w:rsidR="008470E0" w:rsidRPr="008B0567" w:rsidRDefault="008470E0" w:rsidP="008470E0">
      <w:pPr>
        <w:pStyle w:val="ListParagraph"/>
        <w:ind w:left="460"/>
        <w:jc w:val="both"/>
        <w:rPr>
          <w:rFonts w:cs="Arial"/>
        </w:rPr>
      </w:pPr>
    </w:p>
    <w:p w14:paraId="11815364" w14:textId="77777777" w:rsidR="008470E0" w:rsidRPr="008B0567" w:rsidRDefault="008470E0" w:rsidP="008470E0">
      <w:pPr>
        <w:pStyle w:val="ListParagraph"/>
        <w:numPr>
          <w:ilvl w:val="0"/>
          <w:numId w:val="6"/>
        </w:numPr>
        <w:ind w:left="460" w:hanging="567"/>
        <w:jc w:val="both"/>
        <w:rPr>
          <w:rFonts w:cs="Arial"/>
        </w:rPr>
      </w:pPr>
      <w:r w:rsidRPr="008B0567">
        <w:rPr>
          <w:rFonts w:cs="Arial"/>
        </w:rPr>
        <w:t>Attached at Appendix 2</w:t>
      </w:r>
      <w:r w:rsidRPr="008B0567">
        <w:rPr>
          <w:rFonts w:cs="Arial"/>
          <w:szCs w:val="24"/>
          <w:lang w:val="en-US"/>
        </w:rPr>
        <w:t xml:space="preserve"> </w:t>
      </w:r>
      <w:r w:rsidRPr="008B0567">
        <w:rPr>
          <w:rFonts w:cs="Arial"/>
          <w:lang w:val="en-US"/>
        </w:rPr>
        <w:t xml:space="preserve">is a schedule of all the reserves held by the Council.  </w:t>
      </w:r>
    </w:p>
    <w:p w14:paraId="36BD663B" w14:textId="77777777" w:rsidR="008470E0" w:rsidRPr="008B0567" w:rsidRDefault="008470E0" w:rsidP="008470E0">
      <w:pPr>
        <w:pStyle w:val="ListParagraph"/>
        <w:ind w:left="460"/>
        <w:jc w:val="both"/>
        <w:rPr>
          <w:rFonts w:cs="Arial"/>
        </w:rPr>
      </w:pPr>
    </w:p>
    <w:p w14:paraId="4444A85E" w14:textId="77777777" w:rsidR="004B4AC2" w:rsidRPr="008B0567" w:rsidRDefault="004B4AC2" w:rsidP="008470E0">
      <w:pPr>
        <w:pStyle w:val="ListParagraph"/>
        <w:ind w:left="460"/>
        <w:jc w:val="both"/>
        <w:rPr>
          <w:rFonts w:cs="Arial"/>
          <w:b/>
          <w:bCs/>
        </w:rPr>
      </w:pPr>
    </w:p>
    <w:p w14:paraId="1B07C39F" w14:textId="243299D8" w:rsidR="008470E0" w:rsidRPr="008B0567" w:rsidRDefault="008470E0" w:rsidP="008470E0">
      <w:pPr>
        <w:pStyle w:val="ListParagraph"/>
        <w:ind w:left="460"/>
        <w:jc w:val="both"/>
        <w:rPr>
          <w:rFonts w:cs="Arial"/>
          <w:b/>
          <w:bCs/>
        </w:rPr>
      </w:pPr>
      <w:r w:rsidRPr="008B0567">
        <w:rPr>
          <w:rFonts w:cs="Arial"/>
          <w:b/>
          <w:bCs/>
        </w:rPr>
        <w:t>GRANTS</w:t>
      </w:r>
    </w:p>
    <w:p w14:paraId="13E86A9B" w14:textId="77777777" w:rsidR="008470E0" w:rsidRPr="008B0567" w:rsidRDefault="008470E0" w:rsidP="008470E0">
      <w:pPr>
        <w:pStyle w:val="ListParagraph"/>
        <w:ind w:left="460"/>
        <w:jc w:val="both"/>
        <w:rPr>
          <w:rFonts w:cs="Arial"/>
          <w:b/>
          <w:bCs/>
        </w:rPr>
      </w:pPr>
    </w:p>
    <w:p w14:paraId="3EA0CAD9" w14:textId="50816A21" w:rsidR="00C81665" w:rsidRPr="00C81665" w:rsidRDefault="008470E0" w:rsidP="00C81665">
      <w:pPr>
        <w:pStyle w:val="ListParagraph"/>
        <w:numPr>
          <w:ilvl w:val="0"/>
          <w:numId w:val="6"/>
        </w:numPr>
        <w:ind w:left="460" w:hanging="567"/>
        <w:jc w:val="both"/>
        <w:rPr>
          <w:rFonts w:cs="Arial"/>
          <w:b/>
          <w:bCs/>
        </w:rPr>
      </w:pPr>
      <w:r w:rsidRPr="008B0567">
        <w:rPr>
          <w:rFonts w:cs="Arial"/>
        </w:rPr>
        <w:t>Attached at Appendix 3 is a schedule of all the grants the Council is anticipating receiving in 2021/22</w:t>
      </w:r>
    </w:p>
    <w:p w14:paraId="0FD1527A" w14:textId="6C55C7AB" w:rsidR="00C81665" w:rsidRDefault="00C81665" w:rsidP="00C81665">
      <w:pPr>
        <w:pStyle w:val="ListParagraph"/>
        <w:ind w:left="460"/>
        <w:jc w:val="both"/>
        <w:rPr>
          <w:rFonts w:cs="Arial"/>
        </w:rPr>
      </w:pPr>
    </w:p>
    <w:p w14:paraId="31D9D18D" w14:textId="594E837E" w:rsidR="00C81665" w:rsidRPr="00C81665" w:rsidRDefault="00C81665" w:rsidP="00C81665">
      <w:pPr>
        <w:pStyle w:val="ListParagraph"/>
        <w:ind w:left="460"/>
        <w:jc w:val="both"/>
        <w:rPr>
          <w:rFonts w:cs="Arial"/>
          <w:b/>
          <w:bCs/>
        </w:rPr>
      </w:pPr>
      <w:r w:rsidRPr="00C81665">
        <w:rPr>
          <w:rFonts w:cs="Arial"/>
          <w:b/>
          <w:bCs/>
        </w:rPr>
        <w:t>AFGHAN RESETTLEMENT PROGRAMME</w:t>
      </w:r>
    </w:p>
    <w:p w14:paraId="5FFC2D86" w14:textId="77777777" w:rsidR="00C81665" w:rsidRPr="00C81665" w:rsidRDefault="00C81665" w:rsidP="00C81665">
      <w:pPr>
        <w:pStyle w:val="ListParagraph"/>
        <w:ind w:left="460"/>
        <w:jc w:val="both"/>
        <w:rPr>
          <w:rFonts w:cs="Arial"/>
          <w:b/>
          <w:bCs/>
        </w:rPr>
      </w:pPr>
    </w:p>
    <w:p w14:paraId="4B0D13A6" w14:textId="77777777" w:rsidR="00C81665" w:rsidRPr="00C81665" w:rsidRDefault="00C81665" w:rsidP="00C81665">
      <w:pPr>
        <w:pStyle w:val="ListParagraph"/>
        <w:numPr>
          <w:ilvl w:val="0"/>
          <w:numId w:val="6"/>
        </w:numPr>
        <w:ind w:left="460" w:hanging="567"/>
        <w:jc w:val="both"/>
        <w:rPr>
          <w:rFonts w:cs="Arial"/>
          <w:b/>
          <w:bCs/>
        </w:rPr>
      </w:pPr>
      <w:r w:rsidRPr="00C81665">
        <w:rPr>
          <w:rFonts w:cs="Arial"/>
          <w:color w:val="000000"/>
          <w:szCs w:val="24"/>
          <w:shd w:val="clear" w:color="auto" w:fill="FFFFFF"/>
        </w:rPr>
        <w:t>On 31 August</w:t>
      </w:r>
      <w:r>
        <w:rPr>
          <w:rFonts w:cs="Arial"/>
          <w:color w:val="000000"/>
          <w:szCs w:val="24"/>
          <w:shd w:val="clear" w:color="auto" w:fill="FFFFFF"/>
        </w:rPr>
        <w:t xml:space="preserve"> 2021</w:t>
      </w:r>
      <w:r w:rsidRPr="00C81665">
        <w:rPr>
          <w:rFonts w:cs="Arial"/>
          <w:color w:val="000000"/>
          <w:szCs w:val="24"/>
          <w:shd w:val="clear" w:color="auto" w:fill="FFFFFF"/>
        </w:rPr>
        <w:t>, </w:t>
      </w:r>
      <w:hyperlink r:id="rId15" w:history="1">
        <w:r w:rsidRPr="00C81665">
          <w:rPr>
            <w:rStyle w:val="Hyperlink"/>
            <w:rFonts w:cs="Arial"/>
            <w:color w:val="000000"/>
            <w:szCs w:val="24"/>
            <w:u w:val="none"/>
            <w:shd w:val="clear" w:color="auto" w:fill="FFFFFF"/>
          </w:rPr>
          <w:t>the Government announced ‘Operation Warm Welcome’</w:t>
        </w:r>
      </w:hyperlink>
      <w:r w:rsidRPr="00C81665">
        <w:rPr>
          <w:rFonts w:cs="Arial"/>
          <w:color w:val="000000"/>
          <w:szCs w:val="24"/>
          <w:shd w:val="clear" w:color="auto" w:fill="FFFFFF"/>
        </w:rPr>
        <w:t> to ensure that all those Afghan residents who have relocated to the UK following the evacuation of Kabul, can access the vital healthcare, housing, education and support into employment they need to fully integrate into our society.</w:t>
      </w:r>
    </w:p>
    <w:p w14:paraId="50A59185" w14:textId="77777777" w:rsidR="00C81665" w:rsidRPr="00C81665" w:rsidRDefault="00C81665" w:rsidP="00C81665">
      <w:pPr>
        <w:pStyle w:val="ListParagraph"/>
        <w:ind w:left="460"/>
        <w:jc w:val="both"/>
        <w:rPr>
          <w:rFonts w:cs="Arial"/>
          <w:b/>
          <w:bCs/>
        </w:rPr>
      </w:pPr>
    </w:p>
    <w:p w14:paraId="15CBACAD" w14:textId="77777777" w:rsidR="00C81665" w:rsidRPr="00C81665" w:rsidRDefault="00C81665" w:rsidP="00C81665">
      <w:pPr>
        <w:pStyle w:val="ListParagraph"/>
        <w:numPr>
          <w:ilvl w:val="0"/>
          <w:numId w:val="6"/>
        </w:numPr>
        <w:ind w:left="460" w:hanging="567"/>
        <w:jc w:val="both"/>
        <w:rPr>
          <w:rFonts w:cs="Arial"/>
          <w:b/>
          <w:bCs/>
        </w:rPr>
      </w:pPr>
      <w:r w:rsidRPr="00C81665">
        <w:rPr>
          <w:rFonts w:cs="Arial"/>
        </w:rPr>
        <w:t>There are two specific programmes as part of ‘Operation Warm Welcome’, the Afghan Relocations and Assistance Policy (ARAP) and the Afghan Citizens Resettlement Scheme (ACRS), both of which offer funding to Local Authorities who receive families under these schemes for three years on the basis of £20,520 per family member over the three year period, tapered in three annual payments, with the year one payment being £10,500.</w:t>
      </w:r>
    </w:p>
    <w:p w14:paraId="41AC33ED" w14:textId="77777777" w:rsidR="00C81665" w:rsidRPr="00C81665" w:rsidRDefault="00C81665" w:rsidP="00C81665">
      <w:pPr>
        <w:pStyle w:val="ListParagraph"/>
        <w:rPr>
          <w:rFonts w:cs="Arial"/>
        </w:rPr>
      </w:pPr>
    </w:p>
    <w:p w14:paraId="56512027" w14:textId="77777777" w:rsidR="00C81665" w:rsidRPr="00C81665" w:rsidRDefault="00C81665" w:rsidP="00C81665">
      <w:pPr>
        <w:pStyle w:val="ListParagraph"/>
        <w:numPr>
          <w:ilvl w:val="0"/>
          <w:numId w:val="6"/>
        </w:numPr>
        <w:ind w:left="460" w:hanging="567"/>
        <w:jc w:val="both"/>
        <w:rPr>
          <w:rFonts w:cs="Arial"/>
          <w:b/>
          <w:bCs/>
        </w:rPr>
      </w:pPr>
      <w:r w:rsidRPr="00C81665">
        <w:rPr>
          <w:rFonts w:cs="Arial"/>
        </w:rPr>
        <w:t xml:space="preserve">On the basis of the number of families in holding Hotels, the Council has made an initial pledge to receive 10 families over the next 10 months, which given the average size of families within hotels is currently 6.6, would equate to around £1.35m over the three years. The council has developed a partnership approach to support the delivery of this programme locally, but with the sums of money that the Council is likely to receive, Officers require delegated authority to move forward with the development of the offer, which will include housing, integration support, benefits take up, </w:t>
      </w:r>
      <w:r w:rsidRPr="00C81665">
        <w:rPr>
          <w:rFonts w:cs="Arial"/>
        </w:rPr>
        <w:lastRenderedPageBreak/>
        <w:t>school places, language support, employment skills and more. The funding received will go towards putting in place the best value response to support these outcomes being delivered effectively for the families.</w:t>
      </w:r>
    </w:p>
    <w:p w14:paraId="014B4BDE" w14:textId="77777777" w:rsidR="00C81665" w:rsidRPr="00C81665" w:rsidRDefault="00C81665" w:rsidP="00C81665">
      <w:pPr>
        <w:pStyle w:val="ListParagraph"/>
        <w:rPr>
          <w:rFonts w:cs="Arial"/>
        </w:rPr>
      </w:pPr>
    </w:p>
    <w:p w14:paraId="7922ECE7" w14:textId="152BE874" w:rsidR="00C81665" w:rsidRPr="00C81665" w:rsidRDefault="00C81665" w:rsidP="00C81665">
      <w:pPr>
        <w:pStyle w:val="ListParagraph"/>
        <w:numPr>
          <w:ilvl w:val="0"/>
          <w:numId w:val="6"/>
        </w:numPr>
        <w:ind w:left="460" w:hanging="567"/>
        <w:jc w:val="both"/>
        <w:rPr>
          <w:rFonts w:cs="Arial"/>
          <w:b/>
          <w:bCs/>
        </w:rPr>
      </w:pPr>
      <w:r w:rsidRPr="00C81665">
        <w:rPr>
          <w:rFonts w:cs="Arial"/>
        </w:rPr>
        <w:t>Regular monitoring reports will be submitted to the finding department, the Home Office, to e</w:t>
      </w:r>
      <w:r>
        <w:rPr>
          <w:rFonts w:cs="Arial"/>
        </w:rPr>
        <w:t>ns</w:t>
      </w:r>
      <w:r w:rsidRPr="00C81665">
        <w:rPr>
          <w:rFonts w:cs="Arial"/>
        </w:rPr>
        <w:t>ure spend is carried out to support the intentions of the funding agreement.</w:t>
      </w:r>
    </w:p>
    <w:p w14:paraId="132CD4A7" w14:textId="77777777" w:rsidR="00C81665" w:rsidRPr="000D0DD2" w:rsidRDefault="00C81665" w:rsidP="008470E0">
      <w:pPr>
        <w:pStyle w:val="ListParagraph"/>
        <w:ind w:left="460"/>
        <w:jc w:val="both"/>
        <w:rPr>
          <w:rFonts w:cs="Arial"/>
          <w:color w:val="FF0000"/>
        </w:rPr>
      </w:pPr>
    </w:p>
    <w:p w14:paraId="6BCD6C3F" w14:textId="77777777" w:rsidR="008470E0" w:rsidRPr="000D0DD2" w:rsidRDefault="008470E0" w:rsidP="008470E0">
      <w:pPr>
        <w:pStyle w:val="ListParagraph"/>
        <w:ind w:left="567"/>
        <w:jc w:val="both"/>
        <w:rPr>
          <w:rFonts w:cs="Arial"/>
          <w:b/>
          <w:color w:val="FF0000"/>
          <w:szCs w:val="24"/>
        </w:rPr>
      </w:pPr>
    </w:p>
    <w:p w14:paraId="42BE9962" w14:textId="77777777" w:rsidR="008470E0" w:rsidRPr="008B0567" w:rsidRDefault="008470E0" w:rsidP="008470E0">
      <w:pPr>
        <w:pStyle w:val="ListParagraph"/>
        <w:ind w:left="567"/>
        <w:jc w:val="both"/>
        <w:rPr>
          <w:rFonts w:cs="Arial"/>
          <w:lang w:val="en-US"/>
        </w:rPr>
      </w:pPr>
      <w:r w:rsidRPr="008B0567">
        <w:rPr>
          <w:rFonts w:cs="Arial"/>
          <w:b/>
          <w:szCs w:val="24"/>
        </w:rPr>
        <w:t>MTFS IMPLEMENTATION TRACKER</w:t>
      </w:r>
    </w:p>
    <w:p w14:paraId="250F1F0B" w14:textId="77777777" w:rsidR="008470E0" w:rsidRPr="008B0567" w:rsidRDefault="008470E0" w:rsidP="008470E0">
      <w:pPr>
        <w:pStyle w:val="ListParagraph"/>
        <w:jc w:val="both"/>
        <w:rPr>
          <w:rFonts w:cs="Arial"/>
          <w:szCs w:val="24"/>
          <w:lang w:val="en-US"/>
        </w:rPr>
      </w:pPr>
    </w:p>
    <w:p w14:paraId="5026A5B0" w14:textId="77777777" w:rsidR="008470E0" w:rsidRPr="008B0567" w:rsidRDefault="008470E0" w:rsidP="008470E0">
      <w:pPr>
        <w:pStyle w:val="ListParagraph"/>
        <w:ind w:left="460"/>
        <w:jc w:val="both"/>
        <w:rPr>
          <w:rFonts w:cs="Arial"/>
          <w:highlight w:val="yellow"/>
        </w:rPr>
      </w:pPr>
    </w:p>
    <w:p w14:paraId="75AF2FB8" w14:textId="77777777"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szCs w:val="24"/>
          <w:lang w:val="en-US"/>
        </w:rPr>
        <w:t>The 2021/22 budget includes approved MTFS savings of £3.443m.</w:t>
      </w:r>
    </w:p>
    <w:p w14:paraId="5CC69D6E" w14:textId="77777777" w:rsidR="008470E0" w:rsidRPr="008B0567" w:rsidRDefault="008470E0" w:rsidP="008470E0">
      <w:pPr>
        <w:pStyle w:val="ListParagraph"/>
        <w:ind w:left="460"/>
        <w:jc w:val="both"/>
        <w:rPr>
          <w:rFonts w:cs="Arial"/>
          <w:szCs w:val="24"/>
          <w:lang w:val="en-US"/>
        </w:rPr>
      </w:pPr>
    </w:p>
    <w:p w14:paraId="4A925AE7" w14:textId="77777777"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szCs w:val="24"/>
          <w:lang w:val="en-US"/>
        </w:rPr>
        <w:t>Attached at Appendix 4 is a schedule of the individual red, amber, green and purple rated savings in the MTFS. The definition used to classify savings ratings in this report are detailed in Table 4 below:</w:t>
      </w:r>
    </w:p>
    <w:p w14:paraId="6BB636DE" w14:textId="77777777" w:rsidR="008470E0" w:rsidRPr="008B0567" w:rsidRDefault="008470E0" w:rsidP="008470E0">
      <w:pPr>
        <w:pStyle w:val="ListParagraph"/>
        <w:rPr>
          <w:rFonts w:cs="Arial"/>
          <w:lang w:val="en-US"/>
        </w:rPr>
      </w:pPr>
    </w:p>
    <w:p w14:paraId="4863D284" w14:textId="77777777" w:rsidR="008470E0" w:rsidRPr="008B0567" w:rsidRDefault="008470E0" w:rsidP="008470E0">
      <w:pPr>
        <w:pStyle w:val="ListParagraph"/>
        <w:rPr>
          <w:rFonts w:cs="Arial"/>
          <w:lang w:val="en-US"/>
        </w:rPr>
      </w:pPr>
    </w:p>
    <w:p w14:paraId="388FF323" w14:textId="77777777" w:rsidR="008470E0" w:rsidRPr="008B0567" w:rsidRDefault="008470E0" w:rsidP="008470E0">
      <w:pPr>
        <w:pStyle w:val="ListParagraph"/>
        <w:tabs>
          <w:tab w:val="left" w:pos="709"/>
        </w:tabs>
        <w:ind w:left="567"/>
        <w:jc w:val="both"/>
        <w:rPr>
          <w:rFonts w:cs="Arial"/>
          <w:b/>
          <w:szCs w:val="24"/>
          <w:u w:val="single"/>
          <w:lang w:val="en-US"/>
        </w:rPr>
      </w:pPr>
      <w:r w:rsidRPr="008B0567">
        <w:rPr>
          <w:rFonts w:cs="Arial"/>
          <w:b/>
          <w:szCs w:val="24"/>
          <w:u w:val="single"/>
          <w:lang w:val="en-US"/>
        </w:rPr>
        <w:t>Table 4: Savings Definition</w:t>
      </w:r>
    </w:p>
    <w:p w14:paraId="056F4FBF" w14:textId="77777777" w:rsidR="008470E0" w:rsidRPr="008B0567" w:rsidRDefault="008470E0" w:rsidP="008470E0">
      <w:pPr>
        <w:pStyle w:val="ListParagraph"/>
        <w:tabs>
          <w:tab w:val="left" w:pos="709"/>
        </w:tabs>
        <w:ind w:left="567"/>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3645"/>
        <w:gridCol w:w="4092"/>
      </w:tblGrid>
      <w:tr w:rsidR="008470E0" w:rsidRPr="008B0567" w14:paraId="71E1F0C5" w14:textId="77777777" w:rsidTr="004B4AC2">
        <w:tc>
          <w:tcPr>
            <w:tcW w:w="4043" w:type="dxa"/>
          </w:tcPr>
          <w:p w14:paraId="1A53178C" w14:textId="77777777" w:rsidR="008470E0" w:rsidRPr="008B0567" w:rsidRDefault="008470E0" w:rsidP="004B4AC2">
            <w:pPr>
              <w:rPr>
                <w:rFonts w:cs="Arial"/>
                <w:sz w:val="22"/>
                <w:szCs w:val="22"/>
              </w:rPr>
            </w:pPr>
            <w:r w:rsidRPr="008B0567">
              <w:rPr>
                <w:rFonts w:cs="Arial"/>
                <w:b/>
                <w:sz w:val="22"/>
                <w:szCs w:val="22"/>
              </w:rPr>
              <w:t>Green</w:t>
            </w:r>
            <w:r w:rsidRPr="008B0567">
              <w:rPr>
                <w:rFonts w:cs="Arial"/>
                <w:sz w:val="22"/>
                <w:szCs w:val="22"/>
              </w:rPr>
              <w:t xml:space="preserve"> – Low or no risk to delivery of savings</w:t>
            </w:r>
          </w:p>
        </w:tc>
        <w:tc>
          <w:tcPr>
            <w:tcW w:w="4599" w:type="dxa"/>
          </w:tcPr>
          <w:p w14:paraId="00BB2271" w14:textId="77777777" w:rsidR="008470E0" w:rsidRPr="008B0567" w:rsidRDefault="008470E0" w:rsidP="004B4AC2">
            <w:pPr>
              <w:rPr>
                <w:rFonts w:cs="Arial"/>
                <w:sz w:val="22"/>
                <w:szCs w:val="22"/>
              </w:rPr>
            </w:pPr>
            <w:r w:rsidRPr="008B0567">
              <w:rPr>
                <w:rFonts w:cs="Arial"/>
                <w:sz w:val="22"/>
                <w:szCs w:val="22"/>
              </w:rPr>
              <w:t>Clear delivery plans in place</w:t>
            </w:r>
          </w:p>
          <w:p w14:paraId="2624EE97" w14:textId="77777777" w:rsidR="008470E0" w:rsidRPr="008B0567" w:rsidRDefault="008470E0" w:rsidP="004B4AC2">
            <w:pPr>
              <w:rPr>
                <w:rFonts w:cs="Arial"/>
                <w:sz w:val="22"/>
                <w:szCs w:val="22"/>
              </w:rPr>
            </w:pPr>
            <w:r w:rsidRPr="008B0567">
              <w:rPr>
                <w:rFonts w:cs="Arial"/>
                <w:sz w:val="22"/>
                <w:szCs w:val="22"/>
              </w:rPr>
              <w:t>Project running to timescale</w:t>
            </w:r>
          </w:p>
        </w:tc>
      </w:tr>
      <w:tr w:rsidR="008470E0" w:rsidRPr="008B0567" w14:paraId="70E11D4D" w14:textId="77777777" w:rsidTr="004B4AC2">
        <w:tc>
          <w:tcPr>
            <w:tcW w:w="4043" w:type="dxa"/>
          </w:tcPr>
          <w:p w14:paraId="03DE99B6" w14:textId="77777777" w:rsidR="008470E0" w:rsidRPr="008B0567" w:rsidRDefault="008470E0" w:rsidP="004B4AC2">
            <w:pPr>
              <w:rPr>
                <w:rFonts w:cs="Arial"/>
                <w:sz w:val="22"/>
                <w:szCs w:val="22"/>
              </w:rPr>
            </w:pPr>
            <w:r w:rsidRPr="008B0567">
              <w:rPr>
                <w:rFonts w:cs="Arial"/>
                <w:b/>
                <w:sz w:val="22"/>
                <w:szCs w:val="22"/>
              </w:rPr>
              <w:t>Amber</w:t>
            </w:r>
            <w:r w:rsidRPr="008B0567">
              <w:rPr>
                <w:rFonts w:cs="Arial"/>
                <w:sz w:val="22"/>
                <w:szCs w:val="22"/>
              </w:rPr>
              <w:t xml:space="preserve"> – Medium/some risk to delivery</w:t>
            </w:r>
          </w:p>
        </w:tc>
        <w:tc>
          <w:tcPr>
            <w:tcW w:w="4599" w:type="dxa"/>
          </w:tcPr>
          <w:p w14:paraId="0DBB98C9" w14:textId="77777777" w:rsidR="008470E0" w:rsidRPr="008B0567" w:rsidRDefault="008470E0" w:rsidP="004B4AC2">
            <w:pPr>
              <w:rPr>
                <w:rFonts w:cs="Arial"/>
                <w:sz w:val="22"/>
                <w:szCs w:val="22"/>
              </w:rPr>
            </w:pPr>
            <w:r w:rsidRPr="008B0567">
              <w:rPr>
                <w:rFonts w:cs="Arial"/>
                <w:sz w:val="22"/>
                <w:szCs w:val="22"/>
              </w:rPr>
              <w:t>Potential for slippage but project will be delivered as originally intended but not within timescale, so saving will not be fully realised</w:t>
            </w:r>
          </w:p>
        </w:tc>
      </w:tr>
      <w:tr w:rsidR="008470E0" w:rsidRPr="008B0567" w14:paraId="38A08CE4" w14:textId="77777777" w:rsidTr="004B4AC2">
        <w:tc>
          <w:tcPr>
            <w:tcW w:w="4043" w:type="dxa"/>
          </w:tcPr>
          <w:p w14:paraId="072DFB5A" w14:textId="77777777" w:rsidR="008470E0" w:rsidRPr="008B0567" w:rsidRDefault="008470E0" w:rsidP="004B4AC2">
            <w:pPr>
              <w:rPr>
                <w:rFonts w:cs="Arial"/>
                <w:sz w:val="22"/>
                <w:szCs w:val="22"/>
              </w:rPr>
            </w:pPr>
            <w:r w:rsidRPr="008B0567">
              <w:rPr>
                <w:rFonts w:cs="Arial"/>
                <w:b/>
                <w:sz w:val="22"/>
                <w:szCs w:val="22"/>
              </w:rPr>
              <w:t>Red</w:t>
            </w:r>
            <w:r w:rsidRPr="008B0567">
              <w:rPr>
                <w:rFonts w:cs="Arial"/>
                <w:sz w:val="22"/>
                <w:szCs w:val="22"/>
              </w:rPr>
              <w:t xml:space="preserve"> – High risk to delivering forecast savings</w:t>
            </w:r>
          </w:p>
        </w:tc>
        <w:tc>
          <w:tcPr>
            <w:tcW w:w="4599" w:type="dxa"/>
          </w:tcPr>
          <w:p w14:paraId="0A106039" w14:textId="77777777" w:rsidR="008470E0" w:rsidRPr="008B0567" w:rsidRDefault="008470E0" w:rsidP="004B4AC2">
            <w:pPr>
              <w:rPr>
                <w:rFonts w:cs="Arial"/>
                <w:sz w:val="22"/>
                <w:szCs w:val="22"/>
              </w:rPr>
            </w:pPr>
            <w:r w:rsidRPr="008B0567">
              <w:rPr>
                <w:rFonts w:cs="Arial"/>
                <w:sz w:val="22"/>
                <w:szCs w:val="22"/>
              </w:rPr>
              <w:t xml:space="preserve">Project may have started but will deliver </w:t>
            </w:r>
            <w:r w:rsidRPr="008B0567">
              <w:rPr>
                <w:rFonts w:cs="Arial"/>
                <w:b/>
                <w:sz w:val="22"/>
                <w:szCs w:val="22"/>
              </w:rPr>
              <w:t xml:space="preserve">no </w:t>
            </w:r>
            <w:r w:rsidRPr="008B0567">
              <w:rPr>
                <w:rFonts w:cs="Arial"/>
                <w:sz w:val="22"/>
                <w:szCs w:val="22"/>
              </w:rPr>
              <w:t>savings in the current financial year</w:t>
            </w:r>
          </w:p>
          <w:p w14:paraId="31482AD9" w14:textId="77777777" w:rsidR="008470E0" w:rsidRPr="008B0567" w:rsidRDefault="008470E0" w:rsidP="004B4AC2">
            <w:pPr>
              <w:rPr>
                <w:rFonts w:cs="Arial"/>
                <w:sz w:val="22"/>
                <w:szCs w:val="22"/>
              </w:rPr>
            </w:pPr>
            <w:r w:rsidRPr="008B0567">
              <w:rPr>
                <w:rFonts w:cs="Arial"/>
                <w:sz w:val="22"/>
                <w:szCs w:val="22"/>
              </w:rPr>
              <w:t>Project cannot be delivered but underspends found elsewhere to mitigate savings.</w:t>
            </w:r>
          </w:p>
        </w:tc>
      </w:tr>
      <w:tr w:rsidR="008470E0" w:rsidRPr="008B0567" w14:paraId="05E8096F" w14:textId="77777777" w:rsidTr="004B4AC2">
        <w:tc>
          <w:tcPr>
            <w:tcW w:w="4043" w:type="dxa"/>
          </w:tcPr>
          <w:p w14:paraId="0249DA4D" w14:textId="77777777" w:rsidR="008470E0" w:rsidRPr="008B0567" w:rsidRDefault="008470E0" w:rsidP="004B4AC2">
            <w:pPr>
              <w:rPr>
                <w:rFonts w:cs="Arial"/>
                <w:b/>
                <w:sz w:val="22"/>
                <w:szCs w:val="22"/>
              </w:rPr>
            </w:pPr>
            <w:r w:rsidRPr="008B0567">
              <w:rPr>
                <w:rFonts w:cs="Arial"/>
                <w:b/>
                <w:sz w:val="22"/>
                <w:szCs w:val="22"/>
              </w:rPr>
              <w:t>Purple</w:t>
            </w:r>
          </w:p>
        </w:tc>
        <w:tc>
          <w:tcPr>
            <w:tcW w:w="4599" w:type="dxa"/>
          </w:tcPr>
          <w:p w14:paraId="66487CC9" w14:textId="77777777" w:rsidR="008470E0" w:rsidRPr="008B0567" w:rsidRDefault="008470E0" w:rsidP="004B4AC2">
            <w:pPr>
              <w:rPr>
                <w:rFonts w:cs="Arial"/>
                <w:sz w:val="22"/>
                <w:szCs w:val="22"/>
              </w:rPr>
            </w:pPr>
            <w:r w:rsidRPr="008B0567">
              <w:rPr>
                <w:rFonts w:cs="Arial"/>
                <w:sz w:val="22"/>
                <w:szCs w:val="22"/>
              </w:rPr>
              <w:t>Future years’ savings</w:t>
            </w:r>
          </w:p>
        </w:tc>
      </w:tr>
    </w:tbl>
    <w:p w14:paraId="31BEACB6" w14:textId="77777777" w:rsidR="008470E0" w:rsidRPr="008B0567" w:rsidRDefault="008470E0" w:rsidP="008470E0">
      <w:pPr>
        <w:pStyle w:val="ListParagraph"/>
        <w:tabs>
          <w:tab w:val="left" w:pos="709"/>
        </w:tabs>
        <w:ind w:left="567"/>
        <w:jc w:val="both"/>
        <w:rPr>
          <w:rFonts w:cs="Arial"/>
          <w:b/>
          <w:szCs w:val="24"/>
          <w:u w:val="single"/>
          <w:lang w:val="en-US"/>
        </w:rPr>
      </w:pPr>
    </w:p>
    <w:p w14:paraId="7AF47D3B" w14:textId="77777777" w:rsidR="008470E0" w:rsidRPr="008B0567" w:rsidRDefault="008470E0" w:rsidP="008470E0">
      <w:pPr>
        <w:pStyle w:val="ListParagraph"/>
        <w:rPr>
          <w:rFonts w:cs="Arial"/>
          <w:szCs w:val="24"/>
          <w:lang w:val="en-US"/>
        </w:rPr>
      </w:pPr>
    </w:p>
    <w:p w14:paraId="10754CB4" w14:textId="77777777" w:rsidR="008470E0" w:rsidRPr="008B0567" w:rsidRDefault="008470E0" w:rsidP="008470E0">
      <w:pPr>
        <w:pStyle w:val="ListParagraph"/>
        <w:numPr>
          <w:ilvl w:val="0"/>
          <w:numId w:val="6"/>
        </w:numPr>
        <w:ind w:left="460" w:hanging="567"/>
        <w:jc w:val="both"/>
        <w:rPr>
          <w:rFonts w:cs="Arial"/>
          <w:b/>
          <w:szCs w:val="24"/>
          <w:u w:val="single"/>
          <w:lang w:val="en-US"/>
        </w:rPr>
      </w:pPr>
      <w:r w:rsidRPr="008B0567">
        <w:rPr>
          <w:rFonts w:cs="Arial"/>
          <w:bCs/>
          <w:szCs w:val="24"/>
        </w:rPr>
        <w:t xml:space="preserve">Table 5 below shows the summarised position for each directorate for 2021/22: </w:t>
      </w:r>
    </w:p>
    <w:p w14:paraId="7F0C4A10" w14:textId="77777777" w:rsidR="008470E0" w:rsidRPr="008B0567" w:rsidRDefault="008470E0" w:rsidP="008470E0">
      <w:pPr>
        <w:pStyle w:val="ListParagraph"/>
        <w:ind w:left="567" w:right="2126"/>
        <w:jc w:val="both"/>
        <w:rPr>
          <w:rFonts w:cs="Arial"/>
          <w:b/>
          <w:szCs w:val="24"/>
          <w:u w:val="single"/>
          <w:lang w:val="en-US"/>
        </w:rPr>
      </w:pPr>
    </w:p>
    <w:p w14:paraId="15823C41" w14:textId="77777777" w:rsidR="008470E0" w:rsidRPr="008B0567" w:rsidRDefault="008470E0" w:rsidP="008470E0">
      <w:pPr>
        <w:pStyle w:val="ListParagraph"/>
        <w:ind w:left="567" w:right="2126"/>
        <w:jc w:val="both"/>
        <w:rPr>
          <w:rFonts w:cs="Arial"/>
          <w:b/>
          <w:szCs w:val="24"/>
          <w:u w:val="single"/>
          <w:lang w:val="en-US"/>
        </w:rPr>
      </w:pPr>
      <w:r w:rsidRPr="008B0567">
        <w:rPr>
          <w:rFonts w:cs="Arial"/>
          <w:b/>
          <w:szCs w:val="24"/>
          <w:u w:val="single"/>
          <w:lang w:val="en-US"/>
        </w:rPr>
        <w:t>Table 5 - Savings Tracker 2021/22 – Directorate Summary</w:t>
      </w:r>
    </w:p>
    <w:p w14:paraId="404E4794" w14:textId="77777777" w:rsidR="008470E0" w:rsidRPr="008B0567" w:rsidRDefault="008470E0" w:rsidP="008470E0">
      <w:pPr>
        <w:pStyle w:val="ListParagraph"/>
        <w:ind w:left="567" w:right="2126"/>
        <w:jc w:val="both"/>
        <w:rPr>
          <w:rFonts w:cs="Arial"/>
          <w:b/>
          <w:szCs w:val="24"/>
          <w:u w:val="single"/>
          <w:lang w:val="en-US"/>
        </w:rPr>
      </w:pPr>
    </w:p>
    <w:tbl>
      <w:tblPr>
        <w:tblStyle w:val="TableGrid"/>
        <w:tblW w:w="8642" w:type="dxa"/>
        <w:tblInd w:w="557" w:type="dxa"/>
        <w:tblLook w:val="04A0" w:firstRow="1" w:lastRow="0" w:firstColumn="1" w:lastColumn="0" w:noHBand="0" w:noVBand="1"/>
      </w:tblPr>
      <w:tblGrid>
        <w:gridCol w:w="1185"/>
        <w:gridCol w:w="1450"/>
        <w:gridCol w:w="1182"/>
        <w:gridCol w:w="1522"/>
        <w:gridCol w:w="1376"/>
        <w:gridCol w:w="1097"/>
        <w:gridCol w:w="830"/>
      </w:tblGrid>
      <w:tr w:rsidR="008470E0" w:rsidRPr="008B0567" w14:paraId="3EE393CA" w14:textId="77777777" w:rsidTr="004B4AC2">
        <w:tc>
          <w:tcPr>
            <w:tcW w:w="11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61CDAED" w14:textId="77777777" w:rsidR="008470E0" w:rsidRPr="008B0567" w:rsidRDefault="008470E0" w:rsidP="004B4AC2">
            <w:pPr>
              <w:rPr>
                <w:rFonts w:cs="Arial"/>
                <w:noProof/>
                <w:sz w:val="22"/>
                <w:szCs w:val="22"/>
                <w:lang w:eastAsia="en-GB"/>
              </w:rPr>
            </w:pPr>
            <w:r w:rsidRPr="008B0567">
              <w:rPr>
                <w:rFonts w:cs="Arial"/>
                <w:sz w:val="22"/>
                <w:szCs w:val="22"/>
              </w:rPr>
              <w:t> </w:t>
            </w:r>
          </w:p>
        </w:tc>
        <w:tc>
          <w:tcPr>
            <w:tcW w:w="1450" w:type="dxa"/>
            <w:tcBorders>
              <w:top w:val="single" w:sz="8" w:space="0" w:color="auto"/>
              <w:left w:val="nil"/>
              <w:bottom w:val="single" w:sz="8" w:space="0" w:color="auto"/>
              <w:right w:val="single" w:sz="8" w:space="0" w:color="auto"/>
            </w:tcBorders>
            <w:shd w:val="clear" w:color="auto" w:fill="auto"/>
            <w:vAlign w:val="center"/>
          </w:tcPr>
          <w:p w14:paraId="6C07679F" w14:textId="77777777" w:rsidR="008470E0" w:rsidRPr="008B0567" w:rsidRDefault="008470E0" w:rsidP="004B4AC2">
            <w:pPr>
              <w:jc w:val="center"/>
              <w:rPr>
                <w:rFonts w:cs="Arial"/>
                <w:b/>
                <w:noProof/>
                <w:sz w:val="22"/>
                <w:szCs w:val="22"/>
                <w:lang w:eastAsia="en-GB"/>
              </w:rPr>
            </w:pPr>
            <w:r w:rsidRPr="008B0567">
              <w:rPr>
                <w:rFonts w:cs="Arial"/>
                <w:b/>
                <w:bCs/>
                <w:sz w:val="22"/>
                <w:szCs w:val="22"/>
              </w:rPr>
              <w:t>Resources</w:t>
            </w:r>
          </w:p>
        </w:tc>
        <w:tc>
          <w:tcPr>
            <w:tcW w:w="1182" w:type="dxa"/>
            <w:tcBorders>
              <w:top w:val="single" w:sz="8" w:space="0" w:color="auto"/>
              <w:left w:val="nil"/>
              <w:bottom w:val="single" w:sz="8" w:space="0" w:color="auto"/>
              <w:right w:val="single" w:sz="8" w:space="0" w:color="auto"/>
            </w:tcBorders>
            <w:shd w:val="clear" w:color="auto" w:fill="auto"/>
            <w:vAlign w:val="center"/>
          </w:tcPr>
          <w:p w14:paraId="731F416F" w14:textId="77777777" w:rsidR="008470E0" w:rsidRPr="008B0567" w:rsidRDefault="008470E0" w:rsidP="004B4AC2">
            <w:pPr>
              <w:jc w:val="center"/>
              <w:rPr>
                <w:rFonts w:cs="Arial"/>
                <w:b/>
                <w:noProof/>
                <w:sz w:val="22"/>
                <w:szCs w:val="22"/>
                <w:lang w:eastAsia="en-GB"/>
              </w:rPr>
            </w:pPr>
            <w:r w:rsidRPr="008B0567">
              <w:rPr>
                <w:rFonts w:cs="Arial"/>
                <w:b/>
                <w:bCs/>
                <w:sz w:val="22"/>
                <w:szCs w:val="22"/>
              </w:rPr>
              <w:t>People Services</w:t>
            </w:r>
          </w:p>
        </w:tc>
        <w:tc>
          <w:tcPr>
            <w:tcW w:w="1522" w:type="dxa"/>
            <w:tcBorders>
              <w:top w:val="single" w:sz="8" w:space="0" w:color="auto"/>
              <w:left w:val="nil"/>
              <w:bottom w:val="single" w:sz="8" w:space="0" w:color="auto"/>
              <w:right w:val="single" w:sz="8" w:space="0" w:color="auto"/>
            </w:tcBorders>
            <w:shd w:val="clear" w:color="auto" w:fill="auto"/>
            <w:vAlign w:val="center"/>
          </w:tcPr>
          <w:p w14:paraId="111E3723" w14:textId="77777777" w:rsidR="008470E0" w:rsidRPr="008B0567" w:rsidRDefault="008470E0" w:rsidP="004B4AC2">
            <w:pPr>
              <w:jc w:val="center"/>
              <w:rPr>
                <w:rFonts w:cs="Arial"/>
                <w:b/>
                <w:noProof/>
                <w:sz w:val="22"/>
                <w:szCs w:val="22"/>
                <w:lang w:eastAsia="en-GB"/>
              </w:rPr>
            </w:pPr>
            <w:r w:rsidRPr="008B0567">
              <w:rPr>
                <w:rFonts w:cs="Arial"/>
                <w:b/>
                <w:bCs/>
                <w:sz w:val="22"/>
                <w:szCs w:val="22"/>
              </w:rPr>
              <w:t>Community</w:t>
            </w:r>
          </w:p>
        </w:tc>
        <w:tc>
          <w:tcPr>
            <w:tcW w:w="1376" w:type="dxa"/>
            <w:tcBorders>
              <w:top w:val="single" w:sz="8" w:space="0" w:color="auto"/>
              <w:left w:val="nil"/>
              <w:bottom w:val="single" w:sz="8" w:space="0" w:color="auto"/>
              <w:right w:val="single" w:sz="8" w:space="0" w:color="auto"/>
            </w:tcBorders>
            <w:shd w:val="clear" w:color="auto" w:fill="auto"/>
            <w:vAlign w:val="center"/>
          </w:tcPr>
          <w:p w14:paraId="4F35FE46" w14:textId="77777777" w:rsidR="008470E0" w:rsidRPr="008B0567" w:rsidRDefault="008470E0" w:rsidP="004B4AC2">
            <w:pPr>
              <w:jc w:val="center"/>
              <w:rPr>
                <w:rFonts w:cs="Arial"/>
                <w:b/>
                <w:noProof/>
                <w:sz w:val="22"/>
                <w:szCs w:val="22"/>
                <w:lang w:eastAsia="en-GB"/>
              </w:rPr>
            </w:pPr>
            <w:r w:rsidRPr="008B0567">
              <w:rPr>
                <w:rFonts w:cs="Arial"/>
                <w:b/>
                <w:bCs/>
                <w:sz w:val="22"/>
                <w:szCs w:val="22"/>
              </w:rPr>
              <w:t>Corporate</w:t>
            </w:r>
          </w:p>
        </w:tc>
        <w:tc>
          <w:tcPr>
            <w:tcW w:w="1097" w:type="dxa"/>
            <w:tcBorders>
              <w:top w:val="single" w:sz="8" w:space="0" w:color="auto"/>
              <w:left w:val="nil"/>
              <w:bottom w:val="single" w:sz="8" w:space="0" w:color="auto"/>
              <w:right w:val="single" w:sz="8" w:space="0" w:color="auto"/>
            </w:tcBorders>
            <w:shd w:val="clear" w:color="auto" w:fill="auto"/>
            <w:vAlign w:val="center"/>
          </w:tcPr>
          <w:p w14:paraId="6568A4FC" w14:textId="77777777" w:rsidR="008470E0" w:rsidRPr="008B0567" w:rsidRDefault="008470E0" w:rsidP="004B4AC2">
            <w:pPr>
              <w:jc w:val="center"/>
              <w:rPr>
                <w:rFonts w:cs="Arial"/>
                <w:b/>
                <w:noProof/>
                <w:sz w:val="22"/>
                <w:szCs w:val="22"/>
                <w:lang w:eastAsia="en-GB"/>
              </w:rPr>
            </w:pPr>
            <w:r w:rsidRPr="008B0567">
              <w:rPr>
                <w:rFonts w:cs="Arial"/>
                <w:b/>
                <w:bCs/>
                <w:sz w:val="22"/>
                <w:szCs w:val="22"/>
              </w:rPr>
              <w:t>Total</w:t>
            </w:r>
          </w:p>
        </w:tc>
        <w:tc>
          <w:tcPr>
            <w:tcW w:w="830" w:type="dxa"/>
            <w:tcBorders>
              <w:top w:val="single" w:sz="8" w:space="0" w:color="auto"/>
              <w:left w:val="nil"/>
              <w:bottom w:val="single" w:sz="8" w:space="0" w:color="auto"/>
              <w:right w:val="single" w:sz="8" w:space="0" w:color="auto"/>
            </w:tcBorders>
            <w:shd w:val="clear" w:color="auto" w:fill="auto"/>
            <w:vAlign w:val="center"/>
          </w:tcPr>
          <w:p w14:paraId="7A8E446A" w14:textId="77777777" w:rsidR="008470E0" w:rsidRPr="008B0567" w:rsidRDefault="008470E0" w:rsidP="004B4AC2">
            <w:pPr>
              <w:jc w:val="center"/>
              <w:rPr>
                <w:rFonts w:cs="Arial"/>
                <w:b/>
                <w:noProof/>
                <w:sz w:val="22"/>
                <w:szCs w:val="22"/>
                <w:lang w:eastAsia="en-GB"/>
              </w:rPr>
            </w:pPr>
            <w:r w:rsidRPr="008B0567">
              <w:rPr>
                <w:rFonts w:cs="Arial"/>
                <w:b/>
                <w:bCs/>
                <w:sz w:val="22"/>
                <w:szCs w:val="22"/>
              </w:rPr>
              <w:t>%</w:t>
            </w:r>
          </w:p>
        </w:tc>
      </w:tr>
      <w:tr w:rsidR="008470E0" w:rsidRPr="008B0567" w14:paraId="4215F224" w14:textId="77777777" w:rsidTr="004B4AC2">
        <w:trPr>
          <w:trHeight w:val="284"/>
        </w:trPr>
        <w:tc>
          <w:tcPr>
            <w:tcW w:w="1185" w:type="dxa"/>
            <w:vMerge/>
            <w:tcBorders>
              <w:top w:val="single" w:sz="8" w:space="0" w:color="auto"/>
              <w:left w:val="single" w:sz="8" w:space="0" w:color="auto"/>
              <w:bottom w:val="single" w:sz="8" w:space="0" w:color="000000"/>
              <w:right w:val="single" w:sz="8" w:space="0" w:color="auto"/>
            </w:tcBorders>
            <w:vAlign w:val="center"/>
          </w:tcPr>
          <w:p w14:paraId="3BA97AD5" w14:textId="77777777" w:rsidR="008470E0" w:rsidRPr="008B0567" w:rsidRDefault="008470E0" w:rsidP="004B4AC2">
            <w:pPr>
              <w:rPr>
                <w:rFonts w:cs="Arial"/>
                <w:noProof/>
                <w:sz w:val="22"/>
                <w:szCs w:val="22"/>
                <w:lang w:eastAsia="en-GB"/>
              </w:rPr>
            </w:pPr>
          </w:p>
        </w:tc>
        <w:tc>
          <w:tcPr>
            <w:tcW w:w="1450" w:type="dxa"/>
            <w:tcBorders>
              <w:top w:val="nil"/>
              <w:left w:val="nil"/>
              <w:bottom w:val="single" w:sz="8" w:space="0" w:color="auto"/>
              <w:right w:val="single" w:sz="8" w:space="0" w:color="auto"/>
            </w:tcBorders>
            <w:shd w:val="clear" w:color="auto" w:fill="auto"/>
            <w:vAlign w:val="center"/>
          </w:tcPr>
          <w:p w14:paraId="6FDA1E09" w14:textId="77777777" w:rsidR="008470E0" w:rsidRPr="008B0567" w:rsidRDefault="008470E0" w:rsidP="004B4AC2">
            <w:pPr>
              <w:jc w:val="center"/>
              <w:rPr>
                <w:rFonts w:cs="Arial"/>
                <w:b/>
                <w:noProof/>
                <w:sz w:val="22"/>
                <w:szCs w:val="22"/>
                <w:lang w:eastAsia="en-GB"/>
              </w:rPr>
            </w:pPr>
            <w:r w:rsidRPr="008B0567">
              <w:rPr>
                <w:rFonts w:cs="Arial"/>
                <w:b/>
                <w:bCs/>
                <w:sz w:val="22"/>
                <w:szCs w:val="22"/>
              </w:rPr>
              <w:t>£’000</w:t>
            </w:r>
          </w:p>
        </w:tc>
        <w:tc>
          <w:tcPr>
            <w:tcW w:w="1182" w:type="dxa"/>
            <w:tcBorders>
              <w:top w:val="nil"/>
              <w:left w:val="nil"/>
              <w:bottom w:val="single" w:sz="8" w:space="0" w:color="auto"/>
              <w:right w:val="single" w:sz="8" w:space="0" w:color="auto"/>
            </w:tcBorders>
            <w:shd w:val="clear" w:color="auto" w:fill="auto"/>
            <w:vAlign w:val="center"/>
          </w:tcPr>
          <w:p w14:paraId="1DBF2540"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1522" w:type="dxa"/>
            <w:tcBorders>
              <w:top w:val="nil"/>
              <w:left w:val="nil"/>
              <w:bottom w:val="single" w:sz="8" w:space="0" w:color="auto"/>
              <w:right w:val="single" w:sz="8" w:space="0" w:color="auto"/>
            </w:tcBorders>
            <w:shd w:val="clear" w:color="auto" w:fill="auto"/>
            <w:vAlign w:val="center"/>
          </w:tcPr>
          <w:p w14:paraId="4904C3F8"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1376" w:type="dxa"/>
            <w:tcBorders>
              <w:top w:val="nil"/>
              <w:left w:val="nil"/>
              <w:bottom w:val="single" w:sz="8" w:space="0" w:color="auto"/>
              <w:right w:val="single" w:sz="8" w:space="0" w:color="auto"/>
            </w:tcBorders>
            <w:shd w:val="clear" w:color="auto" w:fill="auto"/>
            <w:vAlign w:val="center"/>
          </w:tcPr>
          <w:p w14:paraId="56DED204"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1097" w:type="dxa"/>
            <w:tcBorders>
              <w:top w:val="nil"/>
              <w:left w:val="nil"/>
              <w:bottom w:val="single" w:sz="8" w:space="0" w:color="auto"/>
              <w:right w:val="single" w:sz="8" w:space="0" w:color="auto"/>
            </w:tcBorders>
            <w:shd w:val="clear" w:color="auto" w:fill="auto"/>
            <w:vAlign w:val="center"/>
          </w:tcPr>
          <w:p w14:paraId="3D2BC3E3"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830" w:type="dxa"/>
            <w:tcBorders>
              <w:top w:val="nil"/>
              <w:left w:val="nil"/>
              <w:bottom w:val="single" w:sz="8" w:space="0" w:color="auto"/>
              <w:right w:val="single" w:sz="8" w:space="0" w:color="auto"/>
            </w:tcBorders>
            <w:shd w:val="clear" w:color="auto" w:fill="auto"/>
            <w:vAlign w:val="center"/>
          </w:tcPr>
          <w:p w14:paraId="5306AC89" w14:textId="77777777" w:rsidR="008470E0" w:rsidRPr="008B0567" w:rsidRDefault="008470E0" w:rsidP="004B4AC2">
            <w:pPr>
              <w:jc w:val="center"/>
              <w:rPr>
                <w:rFonts w:cs="Arial"/>
                <w:b/>
                <w:noProof/>
                <w:sz w:val="22"/>
                <w:szCs w:val="22"/>
                <w:lang w:eastAsia="en-GB"/>
              </w:rPr>
            </w:pPr>
            <w:r w:rsidRPr="008B0567">
              <w:rPr>
                <w:rFonts w:cs="Arial"/>
                <w:b/>
                <w:bCs/>
                <w:sz w:val="22"/>
                <w:szCs w:val="22"/>
              </w:rPr>
              <w:t> </w:t>
            </w:r>
          </w:p>
        </w:tc>
      </w:tr>
      <w:tr w:rsidR="008470E0" w:rsidRPr="008B0567" w14:paraId="7370B823"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5EF717E8" w14:textId="77777777" w:rsidR="008470E0" w:rsidRPr="008B0567" w:rsidRDefault="008470E0" w:rsidP="004B4AC2">
            <w:pPr>
              <w:rPr>
                <w:rFonts w:cs="Arial"/>
                <w:b/>
                <w:noProof/>
                <w:sz w:val="22"/>
                <w:szCs w:val="22"/>
                <w:lang w:eastAsia="en-GB"/>
              </w:rPr>
            </w:pPr>
            <w:r w:rsidRPr="008B0567">
              <w:rPr>
                <w:rFonts w:cs="Arial"/>
                <w:b/>
                <w:bCs/>
                <w:sz w:val="22"/>
                <w:szCs w:val="22"/>
              </w:rPr>
              <w:t>Red</w:t>
            </w:r>
          </w:p>
        </w:tc>
        <w:tc>
          <w:tcPr>
            <w:tcW w:w="1450" w:type="dxa"/>
            <w:tcBorders>
              <w:top w:val="nil"/>
              <w:left w:val="nil"/>
              <w:bottom w:val="single" w:sz="8" w:space="0" w:color="auto"/>
              <w:right w:val="single" w:sz="8" w:space="0" w:color="auto"/>
            </w:tcBorders>
            <w:shd w:val="clear" w:color="auto" w:fill="auto"/>
            <w:vAlign w:val="center"/>
          </w:tcPr>
          <w:p w14:paraId="485D0E66" w14:textId="77777777" w:rsidR="008470E0" w:rsidRPr="008B0567" w:rsidRDefault="008470E0" w:rsidP="004B4AC2">
            <w:pPr>
              <w:jc w:val="right"/>
              <w:rPr>
                <w:rFonts w:cs="Arial"/>
                <w:noProof/>
                <w:sz w:val="22"/>
                <w:szCs w:val="22"/>
                <w:lang w:eastAsia="en-GB"/>
              </w:rPr>
            </w:pPr>
            <w:r w:rsidRPr="008B0567">
              <w:rPr>
                <w:rFonts w:cs="Arial"/>
              </w:rPr>
              <w:t>-175</w:t>
            </w:r>
          </w:p>
        </w:tc>
        <w:tc>
          <w:tcPr>
            <w:tcW w:w="1182" w:type="dxa"/>
            <w:tcBorders>
              <w:top w:val="nil"/>
              <w:left w:val="nil"/>
              <w:bottom w:val="single" w:sz="8" w:space="0" w:color="auto"/>
              <w:right w:val="single" w:sz="8" w:space="0" w:color="auto"/>
            </w:tcBorders>
            <w:shd w:val="clear" w:color="auto" w:fill="auto"/>
            <w:vAlign w:val="center"/>
          </w:tcPr>
          <w:p w14:paraId="34FE4735" w14:textId="77777777" w:rsidR="008470E0" w:rsidRPr="008B0567" w:rsidRDefault="008470E0" w:rsidP="004B4AC2">
            <w:pPr>
              <w:jc w:val="right"/>
              <w:rPr>
                <w:rFonts w:cs="Arial"/>
                <w:noProof/>
                <w:sz w:val="22"/>
                <w:szCs w:val="22"/>
                <w:lang w:eastAsia="en-GB"/>
              </w:rPr>
            </w:pPr>
            <w:r w:rsidRPr="008B0567">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19FE822A" w14:textId="77777777" w:rsidR="008470E0" w:rsidRPr="008B0567" w:rsidRDefault="008470E0" w:rsidP="004B4AC2">
            <w:pPr>
              <w:jc w:val="right"/>
              <w:rPr>
                <w:rFonts w:cs="Arial"/>
                <w:noProof/>
                <w:sz w:val="22"/>
                <w:szCs w:val="22"/>
                <w:lang w:eastAsia="en-GB"/>
              </w:rPr>
            </w:pPr>
            <w:r w:rsidRPr="008B0567">
              <w:rPr>
                <w:rFonts w:cs="Arial"/>
              </w:rPr>
              <w:t>-34</w:t>
            </w:r>
          </w:p>
        </w:tc>
        <w:tc>
          <w:tcPr>
            <w:tcW w:w="1376" w:type="dxa"/>
            <w:tcBorders>
              <w:top w:val="nil"/>
              <w:left w:val="nil"/>
              <w:bottom w:val="single" w:sz="8" w:space="0" w:color="auto"/>
              <w:right w:val="single" w:sz="8" w:space="0" w:color="auto"/>
            </w:tcBorders>
            <w:shd w:val="clear" w:color="auto" w:fill="auto"/>
            <w:vAlign w:val="center"/>
          </w:tcPr>
          <w:p w14:paraId="53D44ACA" w14:textId="77777777" w:rsidR="008470E0" w:rsidRPr="008B0567" w:rsidRDefault="008470E0" w:rsidP="004B4AC2">
            <w:pPr>
              <w:jc w:val="right"/>
              <w:rPr>
                <w:rFonts w:cs="Arial"/>
                <w:noProof/>
                <w:sz w:val="22"/>
                <w:szCs w:val="22"/>
                <w:lang w:eastAsia="en-GB"/>
              </w:rPr>
            </w:pPr>
            <w:r w:rsidRPr="008B0567">
              <w:rPr>
                <w:rFonts w:cs="Arial"/>
              </w:rPr>
              <w:t>-1,000</w:t>
            </w:r>
          </w:p>
        </w:tc>
        <w:tc>
          <w:tcPr>
            <w:tcW w:w="1097" w:type="dxa"/>
            <w:tcBorders>
              <w:top w:val="nil"/>
              <w:left w:val="nil"/>
              <w:bottom w:val="single" w:sz="8" w:space="0" w:color="auto"/>
              <w:right w:val="single" w:sz="8" w:space="0" w:color="auto"/>
            </w:tcBorders>
            <w:shd w:val="clear" w:color="auto" w:fill="auto"/>
            <w:vAlign w:val="center"/>
          </w:tcPr>
          <w:p w14:paraId="124616CE" w14:textId="77777777" w:rsidR="008470E0" w:rsidRPr="008B0567" w:rsidRDefault="008470E0" w:rsidP="004B4AC2">
            <w:pPr>
              <w:jc w:val="right"/>
              <w:rPr>
                <w:rFonts w:cs="Arial"/>
                <w:noProof/>
                <w:sz w:val="22"/>
                <w:szCs w:val="22"/>
                <w:lang w:eastAsia="en-GB"/>
              </w:rPr>
            </w:pPr>
            <w:r w:rsidRPr="008B0567">
              <w:rPr>
                <w:rFonts w:cs="Arial"/>
              </w:rPr>
              <w:t>-1,209</w:t>
            </w:r>
          </w:p>
        </w:tc>
        <w:tc>
          <w:tcPr>
            <w:tcW w:w="830" w:type="dxa"/>
            <w:tcBorders>
              <w:top w:val="nil"/>
              <w:left w:val="nil"/>
              <w:bottom w:val="single" w:sz="8" w:space="0" w:color="auto"/>
              <w:right w:val="single" w:sz="8" w:space="0" w:color="auto"/>
            </w:tcBorders>
            <w:shd w:val="clear" w:color="auto" w:fill="auto"/>
            <w:vAlign w:val="center"/>
          </w:tcPr>
          <w:p w14:paraId="25E59423" w14:textId="77777777" w:rsidR="008470E0" w:rsidRPr="008B0567" w:rsidRDefault="008470E0" w:rsidP="004B4AC2">
            <w:pPr>
              <w:jc w:val="right"/>
              <w:rPr>
                <w:rFonts w:cs="Arial"/>
                <w:noProof/>
                <w:sz w:val="22"/>
                <w:szCs w:val="22"/>
                <w:lang w:eastAsia="en-GB"/>
              </w:rPr>
            </w:pPr>
            <w:r w:rsidRPr="008B0567">
              <w:rPr>
                <w:rFonts w:cs="Arial"/>
              </w:rPr>
              <w:t>35%</w:t>
            </w:r>
          </w:p>
        </w:tc>
      </w:tr>
      <w:tr w:rsidR="008470E0" w:rsidRPr="008B0567" w14:paraId="646B582F"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4655041C" w14:textId="77777777" w:rsidR="008470E0" w:rsidRPr="008B0567" w:rsidRDefault="008470E0" w:rsidP="004B4AC2">
            <w:pPr>
              <w:rPr>
                <w:rFonts w:cs="Arial"/>
                <w:b/>
                <w:noProof/>
                <w:sz w:val="22"/>
                <w:szCs w:val="22"/>
                <w:lang w:eastAsia="en-GB"/>
              </w:rPr>
            </w:pPr>
            <w:r w:rsidRPr="008B0567">
              <w:rPr>
                <w:rFonts w:cs="Arial"/>
                <w:b/>
                <w:bCs/>
                <w:sz w:val="22"/>
                <w:szCs w:val="22"/>
              </w:rPr>
              <w:t>Amber</w:t>
            </w:r>
          </w:p>
        </w:tc>
        <w:tc>
          <w:tcPr>
            <w:tcW w:w="1450" w:type="dxa"/>
            <w:tcBorders>
              <w:top w:val="nil"/>
              <w:left w:val="nil"/>
              <w:bottom w:val="single" w:sz="8" w:space="0" w:color="auto"/>
              <w:right w:val="single" w:sz="8" w:space="0" w:color="auto"/>
            </w:tcBorders>
            <w:shd w:val="clear" w:color="auto" w:fill="auto"/>
            <w:vAlign w:val="center"/>
          </w:tcPr>
          <w:p w14:paraId="468B8781" w14:textId="77777777" w:rsidR="008470E0" w:rsidRPr="008B0567" w:rsidRDefault="008470E0" w:rsidP="004B4AC2">
            <w:pPr>
              <w:jc w:val="right"/>
              <w:rPr>
                <w:rFonts w:cs="Arial"/>
                <w:noProof/>
                <w:sz w:val="22"/>
                <w:szCs w:val="22"/>
                <w:lang w:eastAsia="en-GB"/>
              </w:rPr>
            </w:pPr>
            <w:r w:rsidRPr="008B0567">
              <w:rPr>
                <w:rFonts w:cs="Arial"/>
              </w:rPr>
              <w:t> </w:t>
            </w:r>
          </w:p>
        </w:tc>
        <w:tc>
          <w:tcPr>
            <w:tcW w:w="1182" w:type="dxa"/>
            <w:tcBorders>
              <w:top w:val="nil"/>
              <w:left w:val="nil"/>
              <w:bottom w:val="single" w:sz="8" w:space="0" w:color="auto"/>
              <w:right w:val="single" w:sz="8" w:space="0" w:color="auto"/>
            </w:tcBorders>
            <w:shd w:val="clear" w:color="auto" w:fill="auto"/>
            <w:vAlign w:val="center"/>
          </w:tcPr>
          <w:p w14:paraId="71DA37D4" w14:textId="77777777" w:rsidR="008470E0" w:rsidRPr="008B0567" w:rsidRDefault="008470E0" w:rsidP="004B4AC2">
            <w:pPr>
              <w:jc w:val="right"/>
              <w:rPr>
                <w:rFonts w:cs="Arial"/>
                <w:noProof/>
                <w:sz w:val="22"/>
                <w:szCs w:val="22"/>
                <w:lang w:eastAsia="en-GB"/>
              </w:rPr>
            </w:pPr>
            <w:r w:rsidRPr="008B0567">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5B9CA34B" w14:textId="77777777" w:rsidR="008470E0" w:rsidRPr="008B0567" w:rsidRDefault="008470E0" w:rsidP="004B4AC2">
            <w:pPr>
              <w:jc w:val="right"/>
              <w:rPr>
                <w:rFonts w:cs="Arial"/>
                <w:noProof/>
                <w:sz w:val="22"/>
                <w:szCs w:val="22"/>
                <w:lang w:eastAsia="en-GB"/>
              </w:rPr>
            </w:pPr>
            <w:r w:rsidRPr="008B0567">
              <w:rPr>
                <w:rFonts w:cs="Arial"/>
              </w:rPr>
              <w:t>-36</w:t>
            </w:r>
          </w:p>
        </w:tc>
        <w:tc>
          <w:tcPr>
            <w:tcW w:w="1376" w:type="dxa"/>
            <w:tcBorders>
              <w:top w:val="nil"/>
              <w:left w:val="nil"/>
              <w:bottom w:val="single" w:sz="8" w:space="0" w:color="auto"/>
              <w:right w:val="single" w:sz="8" w:space="0" w:color="auto"/>
            </w:tcBorders>
            <w:shd w:val="clear" w:color="auto" w:fill="auto"/>
            <w:vAlign w:val="center"/>
          </w:tcPr>
          <w:p w14:paraId="23316803" w14:textId="77777777" w:rsidR="008470E0" w:rsidRPr="008B0567" w:rsidRDefault="008470E0" w:rsidP="004B4AC2">
            <w:pPr>
              <w:jc w:val="right"/>
              <w:rPr>
                <w:rFonts w:cs="Arial"/>
                <w:noProof/>
                <w:sz w:val="22"/>
                <w:szCs w:val="22"/>
                <w:lang w:eastAsia="en-GB"/>
              </w:rPr>
            </w:pPr>
            <w:r w:rsidRPr="008B0567">
              <w:rPr>
                <w:rFonts w:cs="Arial"/>
              </w:rPr>
              <w:t>-144</w:t>
            </w:r>
          </w:p>
        </w:tc>
        <w:tc>
          <w:tcPr>
            <w:tcW w:w="1097" w:type="dxa"/>
            <w:tcBorders>
              <w:top w:val="nil"/>
              <w:left w:val="nil"/>
              <w:bottom w:val="single" w:sz="8" w:space="0" w:color="auto"/>
              <w:right w:val="single" w:sz="8" w:space="0" w:color="auto"/>
            </w:tcBorders>
            <w:shd w:val="clear" w:color="auto" w:fill="auto"/>
            <w:vAlign w:val="center"/>
          </w:tcPr>
          <w:p w14:paraId="397006EB" w14:textId="77777777" w:rsidR="008470E0" w:rsidRPr="008B0567" w:rsidRDefault="008470E0" w:rsidP="004B4AC2">
            <w:pPr>
              <w:jc w:val="right"/>
              <w:rPr>
                <w:rFonts w:cs="Arial"/>
                <w:noProof/>
                <w:sz w:val="22"/>
                <w:szCs w:val="22"/>
                <w:lang w:eastAsia="en-GB"/>
              </w:rPr>
            </w:pPr>
            <w:r w:rsidRPr="008B0567">
              <w:rPr>
                <w:rFonts w:cs="Arial"/>
              </w:rPr>
              <w:t>-180</w:t>
            </w:r>
          </w:p>
        </w:tc>
        <w:tc>
          <w:tcPr>
            <w:tcW w:w="830" w:type="dxa"/>
            <w:tcBorders>
              <w:top w:val="nil"/>
              <w:left w:val="nil"/>
              <w:bottom w:val="single" w:sz="8" w:space="0" w:color="auto"/>
              <w:right w:val="single" w:sz="8" w:space="0" w:color="auto"/>
            </w:tcBorders>
            <w:shd w:val="clear" w:color="auto" w:fill="auto"/>
            <w:vAlign w:val="center"/>
          </w:tcPr>
          <w:p w14:paraId="19C63852" w14:textId="77777777" w:rsidR="008470E0" w:rsidRPr="008B0567" w:rsidRDefault="008470E0" w:rsidP="004B4AC2">
            <w:pPr>
              <w:jc w:val="right"/>
              <w:rPr>
                <w:rFonts w:cs="Arial"/>
                <w:noProof/>
                <w:sz w:val="22"/>
                <w:szCs w:val="22"/>
                <w:lang w:eastAsia="en-GB"/>
              </w:rPr>
            </w:pPr>
            <w:r w:rsidRPr="008B0567">
              <w:rPr>
                <w:rFonts w:cs="Arial"/>
              </w:rPr>
              <w:t>5%</w:t>
            </w:r>
          </w:p>
        </w:tc>
      </w:tr>
      <w:tr w:rsidR="008470E0" w:rsidRPr="008B0567" w14:paraId="2A8E3033"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0522FE56" w14:textId="77777777" w:rsidR="008470E0" w:rsidRPr="008B0567" w:rsidRDefault="008470E0" w:rsidP="004B4AC2">
            <w:pPr>
              <w:rPr>
                <w:rFonts w:cs="Arial"/>
                <w:b/>
                <w:noProof/>
                <w:sz w:val="22"/>
                <w:szCs w:val="22"/>
                <w:lang w:eastAsia="en-GB"/>
              </w:rPr>
            </w:pPr>
            <w:r w:rsidRPr="008B0567">
              <w:rPr>
                <w:rFonts w:cs="Arial"/>
                <w:b/>
                <w:bCs/>
                <w:sz w:val="22"/>
                <w:szCs w:val="22"/>
              </w:rPr>
              <w:t>Green</w:t>
            </w:r>
          </w:p>
        </w:tc>
        <w:tc>
          <w:tcPr>
            <w:tcW w:w="1450" w:type="dxa"/>
            <w:tcBorders>
              <w:top w:val="nil"/>
              <w:left w:val="nil"/>
              <w:bottom w:val="single" w:sz="8" w:space="0" w:color="auto"/>
              <w:right w:val="single" w:sz="8" w:space="0" w:color="auto"/>
            </w:tcBorders>
            <w:shd w:val="clear" w:color="auto" w:fill="auto"/>
            <w:vAlign w:val="center"/>
          </w:tcPr>
          <w:p w14:paraId="2A83D500" w14:textId="77777777" w:rsidR="008470E0" w:rsidRPr="008B0567" w:rsidRDefault="008470E0" w:rsidP="004B4AC2">
            <w:pPr>
              <w:jc w:val="right"/>
              <w:rPr>
                <w:rFonts w:cs="Arial"/>
                <w:noProof/>
                <w:sz w:val="22"/>
                <w:szCs w:val="22"/>
                <w:lang w:eastAsia="en-GB"/>
              </w:rPr>
            </w:pPr>
            <w:r w:rsidRPr="008B0567">
              <w:rPr>
                <w:rFonts w:cs="Arial"/>
              </w:rPr>
              <w:t>-1,759</w:t>
            </w:r>
          </w:p>
        </w:tc>
        <w:tc>
          <w:tcPr>
            <w:tcW w:w="1182" w:type="dxa"/>
            <w:tcBorders>
              <w:top w:val="nil"/>
              <w:left w:val="nil"/>
              <w:bottom w:val="single" w:sz="8" w:space="0" w:color="auto"/>
              <w:right w:val="single" w:sz="8" w:space="0" w:color="auto"/>
            </w:tcBorders>
            <w:shd w:val="clear" w:color="auto" w:fill="auto"/>
            <w:vAlign w:val="center"/>
          </w:tcPr>
          <w:p w14:paraId="1E8F3DD7" w14:textId="77777777" w:rsidR="008470E0" w:rsidRPr="008B0567" w:rsidRDefault="008470E0" w:rsidP="004B4AC2">
            <w:pPr>
              <w:jc w:val="right"/>
              <w:rPr>
                <w:rFonts w:cs="Arial"/>
                <w:noProof/>
                <w:sz w:val="22"/>
                <w:szCs w:val="22"/>
                <w:lang w:eastAsia="en-GB"/>
              </w:rPr>
            </w:pPr>
            <w:r w:rsidRPr="008B0567">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7844169A" w14:textId="77777777" w:rsidR="008470E0" w:rsidRPr="008B0567" w:rsidRDefault="008470E0" w:rsidP="004B4AC2">
            <w:pPr>
              <w:jc w:val="right"/>
              <w:rPr>
                <w:rFonts w:cs="Arial"/>
                <w:noProof/>
                <w:sz w:val="22"/>
                <w:szCs w:val="22"/>
                <w:lang w:eastAsia="en-GB"/>
              </w:rPr>
            </w:pPr>
            <w:r w:rsidRPr="008B0567">
              <w:rPr>
                <w:rFonts w:cs="Arial"/>
              </w:rPr>
              <w:t>-295</w:t>
            </w:r>
          </w:p>
        </w:tc>
        <w:tc>
          <w:tcPr>
            <w:tcW w:w="1376" w:type="dxa"/>
            <w:tcBorders>
              <w:top w:val="nil"/>
              <w:left w:val="nil"/>
              <w:bottom w:val="single" w:sz="8" w:space="0" w:color="auto"/>
              <w:right w:val="single" w:sz="8" w:space="0" w:color="auto"/>
            </w:tcBorders>
            <w:shd w:val="clear" w:color="auto" w:fill="auto"/>
            <w:vAlign w:val="center"/>
          </w:tcPr>
          <w:p w14:paraId="6724064F" w14:textId="77777777" w:rsidR="008470E0" w:rsidRPr="008B0567" w:rsidRDefault="008470E0" w:rsidP="004B4AC2">
            <w:pPr>
              <w:jc w:val="right"/>
              <w:rPr>
                <w:rFonts w:cs="Arial"/>
                <w:noProof/>
                <w:sz w:val="22"/>
                <w:szCs w:val="22"/>
                <w:lang w:eastAsia="en-GB"/>
              </w:rPr>
            </w:pPr>
            <w:r w:rsidRPr="008B0567">
              <w:rPr>
                <w:rFonts w:cs="Arial"/>
              </w:rPr>
              <w:t> </w:t>
            </w:r>
          </w:p>
        </w:tc>
        <w:tc>
          <w:tcPr>
            <w:tcW w:w="1097" w:type="dxa"/>
            <w:tcBorders>
              <w:top w:val="nil"/>
              <w:left w:val="nil"/>
              <w:bottom w:val="single" w:sz="8" w:space="0" w:color="auto"/>
              <w:right w:val="single" w:sz="8" w:space="0" w:color="auto"/>
            </w:tcBorders>
            <w:shd w:val="clear" w:color="auto" w:fill="auto"/>
            <w:vAlign w:val="center"/>
          </w:tcPr>
          <w:p w14:paraId="6C12E1FC" w14:textId="77777777" w:rsidR="008470E0" w:rsidRPr="008B0567" w:rsidRDefault="008470E0" w:rsidP="004B4AC2">
            <w:pPr>
              <w:jc w:val="right"/>
              <w:rPr>
                <w:rFonts w:cs="Arial"/>
                <w:noProof/>
                <w:sz w:val="22"/>
                <w:szCs w:val="22"/>
                <w:lang w:eastAsia="en-GB"/>
              </w:rPr>
            </w:pPr>
            <w:r w:rsidRPr="008B0567">
              <w:rPr>
                <w:rFonts w:cs="Arial"/>
              </w:rPr>
              <w:t>-2,054</w:t>
            </w:r>
          </w:p>
        </w:tc>
        <w:tc>
          <w:tcPr>
            <w:tcW w:w="830" w:type="dxa"/>
            <w:tcBorders>
              <w:top w:val="nil"/>
              <w:left w:val="nil"/>
              <w:bottom w:val="single" w:sz="8" w:space="0" w:color="auto"/>
              <w:right w:val="single" w:sz="8" w:space="0" w:color="auto"/>
            </w:tcBorders>
            <w:shd w:val="clear" w:color="auto" w:fill="auto"/>
            <w:vAlign w:val="center"/>
          </w:tcPr>
          <w:p w14:paraId="2B745FDB" w14:textId="77777777" w:rsidR="008470E0" w:rsidRPr="008B0567" w:rsidRDefault="008470E0" w:rsidP="004B4AC2">
            <w:pPr>
              <w:jc w:val="right"/>
              <w:rPr>
                <w:rFonts w:cs="Arial"/>
                <w:noProof/>
                <w:sz w:val="22"/>
                <w:szCs w:val="22"/>
                <w:lang w:eastAsia="en-GB"/>
              </w:rPr>
            </w:pPr>
            <w:r w:rsidRPr="008B0567">
              <w:rPr>
                <w:rFonts w:cs="Arial"/>
              </w:rPr>
              <w:t>60%</w:t>
            </w:r>
          </w:p>
        </w:tc>
      </w:tr>
      <w:tr w:rsidR="008470E0" w:rsidRPr="008B0567" w14:paraId="6CC78DB8"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2BDBCDA0" w14:textId="77777777" w:rsidR="008470E0" w:rsidRPr="008B0567" w:rsidRDefault="008470E0" w:rsidP="004B4AC2">
            <w:pPr>
              <w:rPr>
                <w:rFonts w:cs="Arial"/>
                <w:b/>
                <w:noProof/>
                <w:sz w:val="22"/>
                <w:szCs w:val="22"/>
                <w:lang w:eastAsia="en-GB"/>
              </w:rPr>
            </w:pPr>
            <w:r w:rsidRPr="008B0567">
              <w:rPr>
                <w:rFonts w:cs="Arial"/>
                <w:b/>
                <w:bCs/>
                <w:sz w:val="22"/>
                <w:szCs w:val="22"/>
              </w:rPr>
              <w:t>Totals</w:t>
            </w:r>
          </w:p>
        </w:tc>
        <w:tc>
          <w:tcPr>
            <w:tcW w:w="1450" w:type="dxa"/>
            <w:tcBorders>
              <w:top w:val="nil"/>
              <w:left w:val="nil"/>
              <w:bottom w:val="single" w:sz="8" w:space="0" w:color="auto"/>
              <w:right w:val="single" w:sz="8" w:space="0" w:color="auto"/>
            </w:tcBorders>
            <w:shd w:val="clear" w:color="auto" w:fill="auto"/>
            <w:vAlign w:val="center"/>
          </w:tcPr>
          <w:p w14:paraId="2A6C3656" w14:textId="77777777" w:rsidR="008470E0" w:rsidRPr="008B0567" w:rsidRDefault="008470E0" w:rsidP="004B4AC2">
            <w:pPr>
              <w:jc w:val="right"/>
              <w:rPr>
                <w:rFonts w:cs="Arial"/>
                <w:b/>
                <w:noProof/>
                <w:sz w:val="22"/>
                <w:szCs w:val="22"/>
                <w:lang w:eastAsia="en-GB"/>
              </w:rPr>
            </w:pPr>
            <w:r w:rsidRPr="008B0567">
              <w:rPr>
                <w:rFonts w:cs="Arial"/>
                <w:b/>
                <w:bCs/>
              </w:rPr>
              <w:t>-1,934</w:t>
            </w:r>
          </w:p>
        </w:tc>
        <w:tc>
          <w:tcPr>
            <w:tcW w:w="1182" w:type="dxa"/>
            <w:tcBorders>
              <w:top w:val="nil"/>
              <w:left w:val="nil"/>
              <w:bottom w:val="single" w:sz="8" w:space="0" w:color="auto"/>
              <w:right w:val="single" w:sz="8" w:space="0" w:color="auto"/>
            </w:tcBorders>
            <w:shd w:val="clear" w:color="auto" w:fill="auto"/>
            <w:vAlign w:val="center"/>
          </w:tcPr>
          <w:p w14:paraId="146D5876" w14:textId="77777777" w:rsidR="008470E0" w:rsidRPr="008B0567" w:rsidRDefault="008470E0" w:rsidP="004B4AC2">
            <w:pPr>
              <w:jc w:val="right"/>
              <w:rPr>
                <w:rFonts w:cs="Arial"/>
                <w:b/>
                <w:noProof/>
                <w:sz w:val="22"/>
                <w:szCs w:val="22"/>
                <w:lang w:eastAsia="en-GB"/>
              </w:rPr>
            </w:pPr>
            <w:r w:rsidRPr="008B0567">
              <w:rPr>
                <w:rFonts w:cs="Arial"/>
                <w:b/>
                <w:bCs/>
              </w:rPr>
              <w:t>0</w:t>
            </w:r>
          </w:p>
        </w:tc>
        <w:tc>
          <w:tcPr>
            <w:tcW w:w="1522" w:type="dxa"/>
            <w:tcBorders>
              <w:top w:val="nil"/>
              <w:left w:val="nil"/>
              <w:bottom w:val="single" w:sz="8" w:space="0" w:color="auto"/>
              <w:right w:val="single" w:sz="8" w:space="0" w:color="auto"/>
            </w:tcBorders>
            <w:shd w:val="clear" w:color="auto" w:fill="auto"/>
            <w:vAlign w:val="center"/>
          </w:tcPr>
          <w:p w14:paraId="41E76AD4" w14:textId="77777777" w:rsidR="008470E0" w:rsidRPr="008B0567" w:rsidRDefault="008470E0" w:rsidP="004B4AC2">
            <w:pPr>
              <w:jc w:val="right"/>
              <w:rPr>
                <w:rFonts w:cs="Arial"/>
                <w:b/>
                <w:noProof/>
                <w:sz w:val="22"/>
                <w:szCs w:val="22"/>
                <w:lang w:eastAsia="en-GB"/>
              </w:rPr>
            </w:pPr>
            <w:r w:rsidRPr="008B0567">
              <w:rPr>
                <w:rFonts w:cs="Arial"/>
                <w:b/>
                <w:bCs/>
              </w:rPr>
              <w:t>-365</w:t>
            </w:r>
          </w:p>
        </w:tc>
        <w:tc>
          <w:tcPr>
            <w:tcW w:w="1376" w:type="dxa"/>
            <w:tcBorders>
              <w:top w:val="nil"/>
              <w:left w:val="nil"/>
              <w:bottom w:val="single" w:sz="8" w:space="0" w:color="auto"/>
              <w:right w:val="single" w:sz="8" w:space="0" w:color="auto"/>
            </w:tcBorders>
            <w:shd w:val="clear" w:color="auto" w:fill="auto"/>
            <w:vAlign w:val="center"/>
          </w:tcPr>
          <w:p w14:paraId="65FA1730" w14:textId="77777777" w:rsidR="008470E0" w:rsidRPr="008B0567" w:rsidRDefault="008470E0" w:rsidP="004B4AC2">
            <w:pPr>
              <w:jc w:val="right"/>
              <w:rPr>
                <w:rFonts w:cs="Arial"/>
                <w:b/>
                <w:noProof/>
                <w:sz w:val="22"/>
                <w:szCs w:val="22"/>
                <w:lang w:eastAsia="en-GB"/>
              </w:rPr>
            </w:pPr>
            <w:r w:rsidRPr="008B0567">
              <w:rPr>
                <w:rFonts w:cs="Arial"/>
                <w:b/>
                <w:bCs/>
              </w:rPr>
              <w:t>-1,144</w:t>
            </w:r>
          </w:p>
        </w:tc>
        <w:tc>
          <w:tcPr>
            <w:tcW w:w="1097" w:type="dxa"/>
            <w:tcBorders>
              <w:top w:val="nil"/>
              <w:left w:val="nil"/>
              <w:bottom w:val="single" w:sz="8" w:space="0" w:color="auto"/>
              <w:right w:val="single" w:sz="8" w:space="0" w:color="auto"/>
            </w:tcBorders>
            <w:shd w:val="clear" w:color="auto" w:fill="auto"/>
            <w:vAlign w:val="center"/>
          </w:tcPr>
          <w:p w14:paraId="465873EA" w14:textId="77777777" w:rsidR="008470E0" w:rsidRPr="008B0567" w:rsidRDefault="008470E0" w:rsidP="004B4AC2">
            <w:pPr>
              <w:jc w:val="right"/>
              <w:rPr>
                <w:rFonts w:cs="Arial"/>
                <w:b/>
                <w:noProof/>
                <w:sz w:val="22"/>
                <w:szCs w:val="22"/>
                <w:lang w:eastAsia="en-GB"/>
              </w:rPr>
            </w:pPr>
            <w:r w:rsidRPr="008B0567">
              <w:rPr>
                <w:rFonts w:cs="Arial"/>
                <w:b/>
                <w:bCs/>
              </w:rPr>
              <w:t>-3,443</w:t>
            </w:r>
          </w:p>
        </w:tc>
        <w:tc>
          <w:tcPr>
            <w:tcW w:w="830" w:type="dxa"/>
            <w:tcBorders>
              <w:top w:val="nil"/>
              <w:left w:val="nil"/>
              <w:bottom w:val="single" w:sz="8" w:space="0" w:color="auto"/>
              <w:right w:val="single" w:sz="8" w:space="0" w:color="auto"/>
            </w:tcBorders>
            <w:shd w:val="clear" w:color="auto" w:fill="auto"/>
            <w:vAlign w:val="center"/>
          </w:tcPr>
          <w:p w14:paraId="4A63ABED" w14:textId="77777777" w:rsidR="008470E0" w:rsidRPr="008B0567" w:rsidRDefault="008470E0" w:rsidP="004B4AC2">
            <w:pPr>
              <w:jc w:val="right"/>
              <w:rPr>
                <w:rFonts w:cs="Arial"/>
                <w:b/>
                <w:noProof/>
                <w:sz w:val="22"/>
                <w:szCs w:val="22"/>
                <w:lang w:eastAsia="en-GB"/>
              </w:rPr>
            </w:pPr>
            <w:r w:rsidRPr="008B0567">
              <w:rPr>
                <w:rFonts w:cs="Arial"/>
                <w:b/>
                <w:bCs/>
              </w:rPr>
              <w:t>100%</w:t>
            </w:r>
          </w:p>
        </w:tc>
      </w:tr>
    </w:tbl>
    <w:p w14:paraId="3E94B7E4" w14:textId="77777777" w:rsidR="008470E0" w:rsidRPr="008B0567" w:rsidRDefault="008470E0" w:rsidP="008470E0">
      <w:pPr>
        <w:jc w:val="both"/>
        <w:rPr>
          <w:rFonts w:cs="Arial"/>
          <w:b/>
          <w:szCs w:val="24"/>
          <w:u w:val="single"/>
          <w:lang w:val="en-US"/>
        </w:rPr>
      </w:pPr>
    </w:p>
    <w:p w14:paraId="6C4A1972" w14:textId="1AE3DE94"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bCs/>
          <w:szCs w:val="24"/>
        </w:rPr>
        <w:t xml:space="preserve">In 2022/23 the MTFS savings total is £3.443m. 35% of these savings are rated red which means that these savings will not be delivered in this </w:t>
      </w:r>
      <w:r w:rsidRPr="008B0567">
        <w:rPr>
          <w:rFonts w:cs="Arial"/>
          <w:bCs/>
          <w:szCs w:val="24"/>
        </w:rPr>
        <w:lastRenderedPageBreak/>
        <w:t>financial year.</w:t>
      </w:r>
      <w:r w:rsidR="008F4392">
        <w:rPr>
          <w:rFonts w:cs="Arial"/>
          <w:bCs/>
          <w:szCs w:val="24"/>
        </w:rPr>
        <w:t xml:space="preserve"> </w:t>
      </w:r>
      <w:bookmarkStart w:id="7" w:name="_Hlk88808812"/>
      <w:r w:rsidR="008F4392">
        <w:rPr>
          <w:rFonts w:cs="Arial"/>
          <w:bCs/>
          <w:szCs w:val="24"/>
        </w:rPr>
        <w:t>The financial impact of not delivering these savings is included in the overall forecast position at Q2.</w:t>
      </w:r>
    </w:p>
    <w:bookmarkEnd w:id="7"/>
    <w:p w14:paraId="71BF2512" w14:textId="77777777" w:rsidR="008470E0" w:rsidRPr="008B0567" w:rsidRDefault="008470E0" w:rsidP="008470E0">
      <w:pPr>
        <w:pStyle w:val="ListParagraph"/>
        <w:ind w:left="460"/>
        <w:jc w:val="both"/>
        <w:rPr>
          <w:rFonts w:cs="Arial"/>
          <w:szCs w:val="24"/>
          <w:lang w:val="en-US"/>
        </w:rPr>
      </w:pPr>
    </w:p>
    <w:p w14:paraId="4CFE0AB7" w14:textId="77777777"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bCs/>
          <w:szCs w:val="24"/>
        </w:rPr>
        <w:t>The red savings of £1.209m relate to the following savings:</w:t>
      </w:r>
    </w:p>
    <w:p w14:paraId="48EDECF7" w14:textId="77777777" w:rsidR="008470E0" w:rsidRPr="008B0567" w:rsidRDefault="008470E0" w:rsidP="008470E0">
      <w:pPr>
        <w:pStyle w:val="ListParagraph"/>
        <w:rPr>
          <w:rFonts w:cs="Arial"/>
          <w:szCs w:val="24"/>
          <w:lang w:val="en-US"/>
        </w:rPr>
      </w:pPr>
    </w:p>
    <w:p w14:paraId="6AA89B71" w14:textId="77777777" w:rsidR="008470E0" w:rsidRPr="008B0567" w:rsidRDefault="008470E0" w:rsidP="008470E0">
      <w:pPr>
        <w:pStyle w:val="ListParagraph"/>
        <w:numPr>
          <w:ilvl w:val="1"/>
          <w:numId w:val="6"/>
        </w:numPr>
        <w:ind w:left="1134" w:hanging="567"/>
        <w:jc w:val="both"/>
        <w:rPr>
          <w:rFonts w:cs="Arial"/>
          <w:szCs w:val="24"/>
          <w:lang w:val="en-US"/>
        </w:rPr>
      </w:pPr>
      <w:r w:rsidRPr="008B0567">
        <w:rPr>
          <w:rFonts w:cs="Arial"/>
          <w:szCs w:val="24"/>
          <w:lang w:val="en-US"/>
        </w:rPr>
        <w:t xml:space="preserve">Resources £175k – Customer Services: Reduction in Customer Channels. Cabinet agreed to close the telephone lines for Council Tax and Benefits to reduce the Access Harrow budget by £350k through staff reduction.  The closure was due to take place from 1 October 2020 with the budget reduction being equally split between 2020/21 and 2021/22.  However, Covid-19 prevented the start of the </w:t>
      </w:r>
      <w:proofErr w:type="spellStart"/>
      <w:r w:rsidRPr="008B0567">
        <w:rPr>
          <w:rFonts w:cs="Arial"/>
          <w:szCs w:val="24"/>
          <w:lang w:val="en-US"/>
        </w:rPr>
        <w:t>programme</w:t>
      </w:r>
      <w:proofErr w:type="spellEnd"/>
      <w:r w:rsidRPr="008B0567">
        <w:rPr>
          <w:rFonts w:cs="Arial"/>
          <w:szCs w:val="24"/>
          <w:lang w:val="en-US"/>
        </w:rPr>
        <w:t xml:space="preserve"> of work required to channel shift Revenues &amp; Benefits to digital channels. It is anticipated that the work can be carried out over the next nine months.  </w:t>
      </w:r>
    </w:p>
    <w:p w14:paraId="6160247A" w14:textId="77777777" w:rsidR="008470E0" w:rsidRPr="008B0567" w:rsidRDefault="008470E0" w:rsidP="008470E0">
      <w:pPr>
        <w:pStyle w:val="ListParagraph"/>
        <w:ind w:left="1134"/>
        <w:jc w:val="both"/>
        <w:rPr>
          <w:rFonts w:cs="Arial"/>
          <w:szCs w:val="24"/>
          <w:lang w:val="en-US"/>
        </w:rPr>
      </w:pPr>
    </w:p>
    <w:p w14:paraId="406441C6" w14:textId="77777777" w:rsidR="008470E0" w:rsidRPr="008B0567" w:rsidRDefault="008470E0" w:rsidP="008470E0">
      <w:pPr>
        <w:pStyle w:val="ListParagraph"/>
        <w:numPr>
          <w:ilvl w:val="1"/>
          <w:numId w:val="6"/>
        </w:numPr>
        <w:ind w:left="1134" w:hanging="567"/>
        <w:jc w:val="both"/>
        <w:rPr>
          <w:rFonts w:cs="Arial"/>
          <w:szCs w:val="24"/>
          <w:lang w:val="en-US"/>
        </w:rPr>
      </w:pPr>
      <w:r w:rsidRPr="008B0567">
        <w:rPr>
          <w:rFonts w:cs="Arial"/>
          <w:bCs/>
          <w:szCs w:val="24"/>
        </w:rPr>
        <w:t xml:space="preserve">Community £20k – Building Control. Income is adversely impacted by Covid-19 and it is unlikely that any additional income will be generated in 2021/22. </w:t>
      </w:r>
    </w:p>
    <w:p w14:paraId="613C2085" w14:textId="77777777" w:rsidR="008470E0" w:rsidRPr="008B0567" w:rsidRDefault="008470E0" w:rsidP="008470E0">
      <w:pPr>
        <w:pStyle w:val="ListParagraph"/>
        <w:rPr>
          <w:rFonts w:cs="Arial"/>
          <w:bCs/>
          <w:szCs w:val="24"/>
          <w:lang w:val="en-US"/>
        </w:rPr>
      </w:pPr>
    </w:p>
    <w:p w14:paraId="5AB8751E" w14:textId="77777777" w:rsidR="008470E0" w:rsidRPr="008B0567" w:rsidRDefault="008470E0" w:rsidP="008470E0">
      <w:pPr>
        <w:pStyle w:val="ListParagraph"/>
        <w:numPr>
          <w:ilvl w:val="1"/>
          <w:numId w:val="6"/>
        </w:numPr>
        <w:ind w:left="1134" w:hanging="567"/>
        <w:jc w:val="both"/>
        <w:rPr>
          <w:rFonts w:cs="Arial"/>
          <w:b/>
          <w:szCs w:val="24"/>
          <w:u w:val="single"/>
          <w:lang w:val="en-US"/>
        </w:rPr>
      </w:pPr>
      <w:r w:rsidRPr="008B0567">
        <w:rPr>
          <w:rFonts w:cs="Arial"/>
          <w:bCs/>
          <w:szCs w:val="24"/>
          <w:lang w:val="en-US"/>
        </w:rPr>
        <w:t xml:space="preserve">Community £14k – Housing General Fund: </w:t>
      </w:r>
      <w:proofErr w:type="spellStart"/>
      <w:r w:rsidRPr="008B0567">
        <w:rPr>
          <w:rFonts w:cs="Arial"/>
          <w:bCs/>
          <w:szCs w:val="24"/>
          <w:lang w:val="en-US"/>
        </w:rPr>
        <w:t>Travellors</w:t>
      </w:r>
      <w:proofErr w:type="spellEnd"/>
      <w:r w:rsidRPr="008B0567">
        <w:rPr>
          <w:rFonts w:cs="Arial"/>
          <w:bCs/>
          <w:szCs w:val="24"/>
          <w:lang w:val="en-US"/>
        </w:rPr>
        <w:t xml:space="preserve"> Site. The Housing service will be unable to carry out this review in 2021/22 to achieve full cost recovery. The saving will be met from within the Housing General Fund in 2021/22. </w:t>
      </w:r>
    </w:p>
    <w:p w14:paraId="7171E1D4" w14:textId="77777777" w:rsidR="008470E0" w:rsidRPr="008B0567" w:rsidRDefault="008470E0" w:rsidP="008470E0">
      <w:pPr>
        <w:pStyle w:val="ListParagraph"/>
        <w:rPr>
          <w:rFonts w:cs="Arial"/>
          <w:bCs/>
          <w:szCs w:val="24"/>
          <w:lang w:val="en-US"/>
        </w:rPr>
      </w:pPr>
    </w:p>
    <w:p w14:paraId="38F16B5E" w14:textId="77777777" w:rsidR="008470E0" w:rsidRPr="00AC7EB2" w:rsidRDefault="008470E0" w:rsidP="008470E0">
      <w:pPr>
        <w:pStyle w:val="ListParagraph"/>
        <w:numPr>
          <w:ilvl w:val="1"/>
          <w:numId w:val="6"/>
        </w:numPr>
        <w:ind w:left="1134" w:hanging="567"/>
        <w:jc w:val="both"/>
        <w:rPr>
          <w:rFonts w:cs="Arial"/>
          <w:b/>
          <w:szCs w:val="24"/>
          <w:u w:val="single"/>
        </w:rPr>
      </w:pPr>
      <w:r w:rsidRPr="00AC7EB2">
        <w:rPr>
          <w:rFonts w:cs="Arial"/>
          <w:bCs/>
          <w:szCs w:val="24"/>
          <w:lang w:val="en-US"/>
        </w:rPr>
        <w:t xml:space="preserve">Corporate £1m – Transformation Savings. </w:t>
      </w:r>
    </w:p>
    <w:p w14:paraId="20B0B79D" w14:textId="77777777" w:rsidR="008470E0" w:rsidRPr="00AC7EB2" w:rsidRDefault="008470E0" w:rsidP="008470E0">
      <w:pPr>
        <w:pStyle w:val="ListParagraph"/>
        <w:ind w:left="6882"/>
        <w:jc w:val="both"/>
        <w:rPr>
          <w:rFonts w:cs="Arial"/>
          <w:b/>
          <w:szCs w:val="24"/>
          <w:u w:val="single"/>
        </w:rPr>
      </w:pPr>
      <w:r w:rsidRPr="00AC7EB2">
        <w:rPr>
          <w:rFonts w:cs="Arial"/>
          <w:b/>
          <w:szCs w:val="24"/>
        </w:rPr>
        <w:t xml:space="preserve">       </w:t>
      </w:r>
    </w:p>
    <w:p w14:paraId="3680B9EF" w14:textId="77777777" w:rsidR="008470E0" w:rsidRPr="00AC7EB2" w:rsidRDefault="008470E0" w:rsidP="008470E0">
      <w:pPr>
        <w:pStyle w:val="ListParagraph"/>
        <w:numPr>
          <w:ilvl w:val="0"/>
          <w:numId w:val="5"/>
        </w:numPr>
        <w:tabs>
          <w:tab w:val="left" w:pos="567"/>
        </w:tabs>
        <w:ind w:left="567" w:hanging="567"/>
        <w:jc w:val="both"/>
        <w:rPr>
          <w:rFonts w:cs="Arial"/>
          <w:b/>
          <w:szCs w:val="24"/>
          <w:u w:val="single"/>
        </w:rPr>
      </w:pPr>
      <w:r w:rsidRPr="00AC7EB2">
        <w:rPr>
          <w:rFonts w:cs="Arial"/>
          <w:b/>
          <w:szCs w:val="24"/>
        </w:rPr>
        <w:t xml:space="preserve"> </w:t>
      </w:r>
      <w:r w:rsidRPr="00AC7EB2">
        <w:rPr>
          <w:rFonts w:cs="Arial"/>
          <w:b/>
          <w:szCs w:val="24"/>
          <w:u w:val="single"/>
        </w:rPr>
        <w:t>CAPITAL PROGRAMME</w:t>
      </w:r>
    </w:p>
    <w:p w14:paraId="0369CCA3" w14:textId="77777777" w:rsidR="008470E0" w:rsidRPr="00AC7EB2" w:rsidRDefault="008470E0" w:rsidP="008470E0">
      <w:pPr>
        <w:tabs>
          <w:tab w:val="left" w:pos="567"/>
        </w:tabs>
        <w:jc w:val="both"/>
        <w:rPr>
          <w:rFonts w:cs="Arial"/>
          <w:b/>
          <w:szCs w:val="24"/>
          <w:u w:val="single"/>
        </w:rPr>
      </w:pPr>
    </w:p>
    <w:p w14:paraId="0CDC2F48" w14:textId="36CE0EC8" w:rsidR="008470E0" w:rsidRPr="00AC7EB2" w:rsidRDefault="008470E0" w:rsidP="008470E0">
      <w:pPr>
        <w:pStyle w:val="ListParagraph"/>
        <w:numPr>
          <w:ilvl w:val="0"/>
          <w:numId w:val="5"/>
        </w:numPr>
        <w:tabs>
          <w:tab w:val="left" w:pos="567"/>
        </w:tabs>
        <w:ind w:left="567" w:hanging="567"/>
        <w:jc w:val="both"/>
        <w:rPr>
          <w:rFonts w:cs="Arial"/>
          <w:b/>
          <w:szCs w:val="24"/>
          <w:u w:val="single"/>
        </w:rPr>
      </w:pPr>
      <w:r w:rsidRPr="00AC7EB2">
        <w:rPr>
          <w:rFonts w:cs="Arial"/>
          <w:szCs w:val="24"/>
        </w:rPr>
        <w:t xml:space="preserve">The revised capital budget for 2021/22 is </w:t>
      </w:r>
      <w:r w:rsidRPr="00AC7EB2">
        <w:rPr>
          <w:rFonts w:cs="Arial"/>
          <w:bCs/>
          <w:szCs w:val="24"/>
        </w:rPr>
        <w:t>£2</w:t>
      </w:r>
      <w:r w:rsidR="00AC7EB2" w:rsidRPr="00AC7EB2">
        <w:rPr>
          <w:rFonts w:cs="Arial"/>
          <w:bCs/>
          <w:szCs w:val="24"/>
        </w:rPr>
        <w:t>15.672m</w:t>
      </w:r>
      <w:r w:rsidRPr="00AC7EB2">
        <w:rPr>
          <w:rFonts w:cs="Arial"/>
          <w:bCs/>
          <w:szCs w:val="24"/>
        </w:rPr>
        <w:t xml:space="preserve"> as set out at Table 9:</w:t>
      </w:r>
    </w:p>
    <w:p w14:paraId="35632EDF" w14:textId="77777777" w:rsidR="00AC7EB2" w:rsidRPr="00AC7EB2" w:rsidRDefault="00AC7EB2" w:rsidP="00AC7EB2">
      <w:pPr>
        <w:pStyle w:val="ListParagraph"/>
        <w:rPr>
          <w:rFonts w:cs="Arial"/>
          <w:b/>
          <w:szCs w:val="24"/>
          <w:u w:val="single"/>
        </w:rPr>
      </w:pPr>
    </w:p>
    <w:p w14:paraId="6CDA2638" w14:textId="77777777" w:rsidR="004F521B" w:rsidRDefault="004F521B" w:rsidP="00AC7EB2">
      <w:pPr>
        <w:rPr>
          <w:rFonts w:cs="Arial"/>
          <w:b/>
          <w:szCs w:val="24"/>
          <w:u w:val="single"/>
        </w:rPr>
      </w:pPr>
    </w:p>
    <w:p w14:paraId="7ADEDB97" w14:textId="77777777" w:rsidR="004F521B" w:rsidRDefault="004F521B" w:rsidP="00AC7EB2">
      <w:pPr>
        <w:rPr>
          <w:rFonts w:cs="Arial"/>
          <w:b/>
          <w:szCs w:val="24"/>
          <w:u w:val="single"/>
        </w:rPr>
      </w:pPr>
    </w:p>
    <w:p w14:paraId="25F1683C" w14:textId="77777777" w:rsidR="004F521B" w:rsidRDefault="004F521B" w:rsidP="00AC7EB2">
      <w:pPr>
        <w:rPr>
          <w:rFonts w:cs="Arial"/>
          <w:b/>
          <w:szCs w:val="24"/>
          <w:u w:val="single"/>
        </w:rPr>
      </w:pPr>
    </w:p>
    <w:p w14:paraId="4BB8A8BE" w14:textId="77777777" w:rsidR="004F521B" w:rsidRDefault="004F521B" w:rsidP="00AC7EB2">
      <w:pPr>
        <w:rPr>
          <w:rFonts w:cs="Arial"/>
          <w:b/>
          <w:szCs w:val="24"/>
          <w:u w:val="single"/>
        </w:rPr>
      </w:pPr>
    </w:p>
    <w:p w14:paraId="398C170A" w14:textId="77777777" w:rsidR="004F521B" w:rsidRDefault="004F521B" w:rsidP="00AC7EB2">
      <w:pPr>
        <w:rPr>
          <w:rFonts w:cs="Arial"/>
          <w:b/>
          <w:szCs w:val="24"/>
          <w:u w:val="single"/>
        </w:rPr>
      </w:pPr>
    </w:p>
    <w:p w14:paraId="52A198DD" w14:textId="77777777" w:rsidR="004F521B" w:rsidRDefault="004F521B" w:rsidP="00AC7EB2">
      <w:pPr>
        <w:rPr>
          <w:rFonts w:cs="Arial"/>
          <w:b/>
          <w:szCs w:val="24"/>
          <w:u w:val="single"/>
        </w:rPr>
      </w:pPr>
    </w:p>
    <w:p w14:paraId="6719C5DA" w14:textId="77777777" w:rsidR="004F521B" w:rsidRDefault="004F521B" w:rsidP="00AC7EB2">
      <w:pPr>
        <w:rPr>
          <w:rFonts w:cs="Arial"/>
          <w:b/>
          <w:szCs w:val="24"/>
          <w:u w:val="single"/>
        </w:rPr>
      </w:pPr>
    </w:p>
    <w:p w14:paraId="324CBA12" w14:textId="77777777" w:rsidR="004F521B" w:rsidRDefault="004F521B" w:rsidP="00AC7EB2">
      <w:pPr>
        <w:rPr>
          <w:rFonts w:cs="Arial"/>
          <w:b/>
          <w:szCs w:val="24"/>
          <w:u w:val="single"/>
        </w:rPr>
      </w:pPr>
    </w:p>
    <w:p w14:paraId="25FFB919" w14:textId="77777777" w:rsidR="004F521B" w:rsidRDefault="004F521B" w:rsidP="00AC7EB2">
      <w:pPr>
        <w:rPr>
          <w:rFonts w:cs="Arial"/>
          <w:b/>
          <w:szCs w:val="24"/>
          <w:u w:val="single"/>
        </w:rPr>
      </w:pPr>
    </w:p>
    <w:p w14:paraId="09D50595" w14:textId="77777777" w:rsidR="004F521B" w:rsidRDefault="004F521B" w:rsidP="00AC7EB2">
      <w:pPr>
        <w:rPr>
          <w:rFonts w:cs="Arial"/>
          <w:b/>
          <w:szCs w:val="24"/>
          <w:u w:val="single"/>
        </w:rPr>
      </w:pPr>
    </w:p>
    <w:p w14:paraId="60B1714D" w14:textId="77777777" w:rsidR="004F521B" w:rsidRDefault="004F521B" w:rsidP="00AC7EB2">
      <w:pPr>
        <w:rPr>
          <w:rFonts w:cs="Arial"/>
          <w:b/>
          <w:szCs w:val="24"/>
          <w:u w:val="single"/>
        </w:rPr>
      </w:pPr>
    </w:p>
    <w:p w14:paraId="4CC649BE" w14:textId="77777777" w:rsidR="004F521B" w:rsidRDefault="004F521B" w:rsidP="00AC7EB2">
      <w:pPr>
        <w:rPr>
          <w:rFonts w:cs="Arial"/>
          <w:b/>
          <w:szCs w:val="24"/>
          <w:u w:val="single"/>
        </w:rPr>
      </w:pPr>
    </w:p>
    <w:p w14:paraId="3E726523" w14:textId="77777777" w:rsidR="004F521B" w:rsidRDefault="004F521B" w:rsidP="00AC7EB2">
      <w:pPr>
        <w:rPr>
          <w:rFonts w:cs="Arial"/>
          <w:b/>
          <w:szCs w:val="24"/>
          <w:u w:val="single"/>
        </w:rPr>
      </w:pPr>
    </w:p>
    <w:p w14:paraId="788D13E9" w14:textId="77777777" w:rsidR="004F521B" w:rsidRDefault="004F521B" w:rsidP="00AC7EB2">
      <w:pPr>
        <w:rPr>
          <w:rFonts w:cs="Arial"/>
          <w:b/>
          <w:szCs w:val="24"/>
          <w:u w:val="single"/>
        </w:rPr>
      </w:pPr>
    </w:p>
    <w:p w14:paraId="0FA12BAC" w14:textId="77777777" w:rsidR="004F521B" w:rsidRDefault="004F521B" w:rsidP="00AC7EB2">
      <w:pPr>
        <w:rPr>
          <w:rFonts w:cs="Arial"/>
          <w:b/>
          <w:szCs w:val="24"/>
          <w:u w:val="single"/>
        </w:rPr>
      </w:pPr>
    </w:p>
    <w:p w14:paraId="082027E0" w14:textId="77777777" w:rsidR="004F521B" w:rsidRDefault="004F521B" w:rsidP="00AC7EB2">
      <w:pPr>
        <w:rPr>
          <w:rFonts w:cs="Arial"/>
          <w:b/>
          <w:szCs w:val="24"/>
          <w:u w:val="single"/>
        </w:rPr>
      </w:pPr>
    </w:p>
    <w:p w14:paraId="10B06946" w14:textId="77777777" w:rsidR="004F521B" w:rsidRDefault="004F521B" w:rsidP="00AC7EB2">
      <w:pPr>
        <w:rPr>
          <w:rFonts w:cs="Arial"/>
          <w:b/>
          <w:szCs w:val="24"/>
          <w:u w:val="single"/>
        </w:rPr>
      </w:pPr>
    </w:p>
    <w:p w14:paraId="15B1B534" w14:textId="77777777" w:rsidR="004F521B" w:rsidRDefault="004F521B" w:rsidP="00AC7EB2">
      <w:pPr>
        <w:rPr>
          <w:rFonts w:cs="Arial"/>
          <w:b/>
          <w:szCs w:val="24"/>
          <w:u w:val="single"/>
        </w:rPr>
      </w:pPr>
    </w:p>
    <w:p w14:paraId="4220EE0E" w14:textId="77777777" w:rsidR="004F521B" w:rsidRDefault="004F521B" w:rsidP="00AC7EB2">
      <w:pPr>
        <w:rPr>
          <w:rFonts w:cs="Arial"/>
          <w:b/>
          <w:szCs w:val="24"/>
          <w:u w:val="single"/>
        </w:rPr>
      </w:pPr>
    </w:p>
    <w:p w14:paraId="733B135D" w14:textId="77777777" w:rsidR="004F521B" w:rsidRDefault="004F521B" w:rsidP="00AC7EB2">
      <w:pPr>
        <w:rPr>
          <w:rFonts w:cs="Arial"/>
          <w:b/>
          <w:szCs w:val="24"/>
          <w:u w:val="single"/>
        </w:rPr>
      </w:pPr>
    </w:p>
    <w:p w14:paraId="3D8AF6E7" w14:textId="04595C6A" w:rsidR="00AC7EB2" w:rsidRPr="00AC7EB2" w:rsidRDefault="00AC7EB2" w:rsidP="00AC7EB2">
      <w:pPr>
        <w:rPr>
          <w:rFonts w:cs="Arial"/>
          <w:b/>
          <w:szCs w:val="24"/>
          <w:u w:val="single"/>
        </w:rPr>
      </w:pPr>
      <w:r w:rsidRPr="00AC7EB2">
        <w:rPr>
          <w:rFonts w:cs="Arial"/>
          <w:b/>
          <w:szCs w:val="24"/>
          <w:u w:val="single"/>
        </w:rPr>
        <w:lastRenderedPageBreak/>
        <w:t>Table 9: Capital Programme 2021/22</w:t>
      </w:r>
    </w:p>
    <w:p w14:paraId="1848A15D" w14:textId="77777777" w:rsidR="00AC7EB2" w:rsidRPr="00AC7EB2" w:rsidRDefault="00AC7EB2" w:rsidP="00AC7EB2">
      <w:pPr>
        <w:tabs>
          <w:tab w:val="left" w:pos="567"/>
        </w:tabs>
        <w:jc w:val="both"/>
        <w:rPr>
          <w:rFonts w:cs="Arial"/>
          <w:b/>
          <w:color w:val="FF0000"/>
          <w:szCs w:val="24"/>
          <w:u w:val="single"/>
        </w:rPr>
      </w:pPr>
    </w:p>
    <w:p w14:paraId="760E9B1E" w14:textId="77777777" w:rsidR="008470E0" w:rsidRPr="000D0DD2" w:rsidRDefault="008470E0" w:rsidP="008470E0">
      <w:pPr>
        <w:ind w:left="567"/>
        <w:rPr>
          <w:rFonts w:cs="Arial"/>
          <w:b/>
          <w:color w:val="FF0000"/>
          <w:szCs w:val="24"/>
        </w:rPr>
      </w:pPr>
    </w:p>
    <w:p w14:paraId="296B9EEA" w14:textId="761F8464" w:rsidR="008470E0" w:rsidRPr="00AC7EB2" w:rsidRDefault="00AC7EB2" w:rsidP="008470E0">
      <w:pPr>
        <w:rPr>
          <w:rFonts w:cs="Arial"/>
          <w:b/>
          <w:szCs w:val="24"/>
          <w:u w:val="single"/>
        </w:rPr>
      </w:pPr>
      <w:r w:rsidRPr="00AC7EB2">
        <w:rPr>
          <w:noProof/>
        </w:rPr>
        <w:drawing>
          <wp:inline distT="0" distB="0" distL="0" distR="0" wp14:anchorId="516857D7" wp14:editId="616EEEC2">
            <wp:extent cx="5276215" cy="4087495"/>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6215" cy="4087495"/>
                    </a:xfrm>
                    <a:prstGeom prst="rect">
                      <a:avLst/>
                    </a:prstGeom>
                    <a:noFill/>
                    <a:ln>
                      <a:noFill/>
                    </a:ln>
                  </pic:spPr>
                </pic:pic>
              </a:graphicData>
            </a:graphic>
          </wp:inline>
        </w:drawing>
      </w:r>
    </w:p>
    <w:p w14:paraId="702C2C65" w14:textId="6987ED37" w:rsidR="008470E0" w:rsidRPr="00AC7EB2" w:rsidRDefault="008470E0" w:rsidP="008470E0">
      <w:pPr>
        <w:ind w:hanging="567"/>
        <w:rPr>
          <w:rFonts w:cs="Arial"/>
          <w:b/>
          <w:szCs w:val="24"/>
        </w:rPr>
      </w:pPr>
    </w:p>
    <w:p w14:paraId="26859650" w14:textId="349EF7CC" w:rsidR="008470E0" w:rsidRPr="000D0DD2" w:rsidRDefault="008470E0" w:rsidP="008470E0">
      <w:pPr>
        <w:pStyle w:val="ListParagraph"/>
        <w:numPr>
          <w:ilvl w:val="0"/>
          <w:numId w:val="5"/>
        </w:numPr>
        <w:tabs>
          <w:tab w:val="left" w:pos="567"/>
        </w:tabs>
        <w:ind w:left="567" w:right="140" w:hanging="567"/>
        <w:contextualSpacing/>
        <w:jc w:val="both"/>
        <w:rPr>
          <w:rFonts w:cs="Arial"/>
          <w:color w:val="FF0000"/>
          <w:szCs w:val="24"/>
        </w:rPr>
      </w:pPr>
      <w:r w:rsidRPr="00AC7EB2">
        <w:rPr>
          <w:rFonts w:cs="Arial"/>
          <w:bCs/>
          <w:szCs w:val="24"/>
        </w:rPr>
        <w:t>The general fund capital programme budget in 2021/22 is £11</w:t>
      </w:r>
      <w:r w:rsidR="00AC7EB2" w:rsidRPr="00AC7EB2">
        <w:rPr>
          <w:rFonts w:cs="Arial"/>
          <w:bCs/>
          <w:szCs w:val="24"/>
        </w:rPr>
        <w:t>3.027</w:t>
      </w:r>
      <w:r w:rsidRPr="00AC7EB2">
        <w:rPr>
          <w:rFonts w:cs="Arial"/>
          <w:bCs/>
          <w:szCs w:val="24"/>
        </w:rPr>
        <w:t>m. The net forecast position on the capital budget at Q</w:t>
      </w:r>
      <w:r w:rsidR="00AC7EB2" w:rsidRPr="00AC7EB2">
        <w:rPr>
          <w:rFonts w:cs="Arial"/>
          <w:bCs/>
          <w:szCs w:val="24"/>
        </w:rPr>
        <w:t>2</w:t>
      </w:r>
      <w:r w:rsidRPr="00AC7EB2">
        <w:rPr>
          <w:rFonts w:cs="Arial"/>
          <w:bCs/>
          <w:szCs w:val="24"/>
        </w:rPr>
        <w:t xml:space="preserve"> is £</w:t>
      </w:r>
      <w:r w:rsidR="00AC7EB2" w:rsidRPr="00AC7EB2">
        <w:rPr>
          <w:rFonts w:cs="Arial"/>
          <w:bCs/>
          <w:szCs w:val="24"/>
        </w:rPr>
        <w:t>88.827</w:t>
      </w:r>
      <w:r w:rsidRPr="00AC7EB2">
        <w:rPr>
          <w:rFonts w:cs="Arial"/>
          <w:bCs/>
          <w:szCs w:val="24"/>
        </w:rPr>
        <w:t xml:space="preserve">m which represents </w:t>
      </w:r>
      <w:r w:rsidR="00AC7EB2" w:rsidRPr="00AC7EB2">
        <w:rPr>
          <w:rFonts w:cs="Arial"/>
          <w:bCs/>
          <w:szCs w:val="24"/>
        </w:rPr>
        <w:t>79</w:t>
      </w:r>
      <w:r w:rsidRPr="00AC7EB2">
        <w:rPr>
          <w:rFonts w:cs="Arial"/>
          <w:bCs/>
          <w:szCs w:val="24"/>
        </w:rPr>
        <w:t>% of the total capital programme budget. The variance of £2</w:t>
      </w:r>
      <w:r w:rsidR="00AC7EB2" w:rsidRPr="00AC7EB2">
        <w:rPr>
          <w:rFonts w:cs="Arial"/>
          <w:bCs/>
          <w:szCs w:val="24"/>
        </w:rPr>
        <w:t>4.201</w:t>
      </w:r>
      <w:r w:rsidRPr="00AC7EB2">
        <w:rPr>
          <w:rFonts w:cs="Arial"/>
          <w:bCs/>
          <w:szCs w:val="24"/>
        </w:rPr>
        <w:t>m is made up of proposed slippage of £1</w:t>
      </w:r>
      <w:r w:rsidR="00AC7EB2" w:rsidRPr="00AC7EB2">
        <w:rPr>
          <w:rFonts w:cs="Arial"/>
          <w:bCs/>
          <w:szCs w:val="24"/>
        </w:rPr>
        <w:t>9.721</w:t>
      </w:r>
      <w:r w:rsidRPr="00AC7EB2">
        <w:rPr>
          <w:rFonts w:cs="Arial"/>
          <w:bCs/>
          <w:szCs w:val="24"/>
        </w:rPr>
        <w:t>m and an underspend of £</w:t>
      </w:r>
      <w:r w:rsidR="00AC7EB2" w:rsidRPr="00AC7EB2">
        <w:rPr>
          <w:rFonts w:cs="Arial"/>
          <w:bCs/>
          <w:szCs w:val="24"/>
        </w:rPr>
        <w:t>4.480</w:t>
      </w:r>
      <w:r w:rsidRPr="00AC7EB2">
        <w:rPr>
          <w:rFonts w:cs="Arial"/>
          <w:bCs/>
          <w:szCs w:val="24"/>
        </w:rPr>
        <w:t>m. Further details are set out at the following paragraphs</w:t>
      </w:r>
      <w:r w:rsidRPr="000D0DD2">
        <w:rPr>
          <w:rFonts w:cs="Arial"/>
          <w:bCs/>
          <w:color w:val="FF0000"/>
          <w:szCs w:val="24"/>
        </w:rPr>
        <w:t>.</w:t>
      </w:r>
    </w:p>
    <w:p w14:paraId="6AE4DBBC" w14:textId="77777777" w:rsidR="008470E0" w:rsidRPr="006F7ACA" w:rsidRDefault="008470E0" w:rsidP="008470E0">
      <w:pPr>
        <w:pStyle w:val="ListParagraph"/>
        <w:tabs>
          <w:tab w:val="left" w:pos="567"/>
        </w:tabs>
        <w:ind w:left="567" w:right="140"/>
        <w:contextualSpacing/>
        <w:jc w:val="both"/>
        <w:rPr>
          <w:rFonts w:cs="Arial"/>
          <w:szCs w:val="24"/>
        </w:rPr>
      </w:pPr>
    </w:p>
    <w:p w14:paraId="68CEB235" w14:textId="77777777" w:rsidR="008470E0" w:rsidRPr="006F7ACA" w:rsidRDefault="008470E0" w:rsidP="008470E0">
      <w:pPr>
        <w:ind w:left="567" w:right="140"/>
        <w:rPr>
          <w:rFonts w:cs="Arial"/>
          <w:b/>
          <w:szCs w:val="24"/>
        </w:rPr>
      </w:pPr>
      <w:r w:rsidRPr="006F7ACA">
        <w:rPr>
          <w:rFonts w:cs="Arial"/>
          <w:b/>
          <w:szCs w:val="24"/>
        </w:rPr>
        <w:t>RESOURCES</w:t>
      </w:r>
    </w:p>
    <w:p w14:paraId="5C977F48" w14:textId="77777777" w:rsidR="008470E0" w:rsidRPr="006F7ACA" w:rsidRDefault="008470E0" w:rsidP="008470E0">
      <w:pPr>
        <w:pStyle w:val="ListParagraph"/>
        <w:ind w:right="140"/>
        <w:rPr>
          <w:rFonts w:cs="Arial"/>
          <w:bCs/>
          <w:szCs w:val="24"/>
        </w:rPr>
      </w:pPr>
    </w:p>
    <w:p w14:paraId="3AFAD9CE" w14:textId="44249ED8" w:rsidR="008470E0" w:rsidRPr="006F7ACA" w:rsidRDefault="008470E0" w:rsidP="008470E0">
      <w:pPr>
        <w:pStyle w:val="ListParagraph"/>
        <w:numPr>
          <w:ilvl w:val="0"/>
          <w:numId w:val="5"/>
        </w:numPr>
        <w:tabs>
          <w:tab w:val="left" w:pos="567"/>
        </w:tabs>
        <w:ind w:left="567" w:right="140" w:hanging="567"/>
        <w:contextualSpacing/>
        <w:jc w:val="both"/>
        <w:rPr>
          <w:rFonts w:cs="Arial"/>
          <w:szCs w:val="24"/>
        </w:rPr>
      </w:pPr>
      <w:r w:rsidRPr="006F7ACA">
        <w:rPr>
          <w:rFonts w:cs="Arial"/>
          <w:szCs w:val="24"/>
        </w:rPr>
        <w:t>As at Q</w:t>
      </w:r>
      <w:r w:rsidR="008F4392">
        <w:rPr>
          <w:rFonts w:cs="Arial"/>
          <w:szCs w:val="24"/>
        </w:rPr>
        <w:t>2</w:t>
      </w:r>
      <w:r w:rsidRPr="006F7ACA">
        <w:rPr>
          <w:rFonts w:cs="Arial"/>
          <w:szCs w:val="24"/>
        </w:rPr>
        <w:t xml:space="preserve"> the Resources capital programme is forecasting to spend £14.528m which represents 98% of the total budget.</w:t>
      </w:r>
    </w:p>
    <w:p w14:paraId="448275D9" w14:textId="77777777" w:rsidR="008470E0" w:rsidRPr="006F7ACA" w:rsidRDefault="008470E0" w:rsidP="008470E0">
      <w:pPr>
        <w:pStyle w:val="ListParagraph"/>
        <w:tabs>
          <w:tab w:val="left" w:pos="567"/>
        </w:tabs>
        <w:ind w:left="567" w:right="140"/>
        <w:contextualSpacing/>
        <w:jc w:val="both"/>
        <w:rPr>
          <w:rFonts w:cs="Arial"/>
          <w:szCs w:val="24"/>
        </w:rPr>
      </w:pPr>
    </w:p>
    <w:p w14:paraId="5BEFE0A5" w14:textId="77777777" w:rsidR="008470E0" w:rsidRPr="006F7ACA" w:rsidRDefault="008470E0" w:rsidP="008470E0">
      <w:pPr>
        <w:pStyle w:val="ListParagraph"/>
        <w:numPr>
          <w:ilvl w:val="0"/>
          <w:numId w:val="5"/>
        </w:numPr>
        <w:tabs>
          <w:tab w:val="left" w:pos="567"/>
        </w:tabs>
        <w:ind w:left="567" w:right="140" w:hanging="567"/>
        <w:contextualSpacing/>
        <w:jc w:val="both"/>
        <w:rPr>
          <w:rFonts w:cs="Arial"/>
          <w:szCs w:val="24"/>
        </w:rPr>
      </w:pPr>
      <w:r w:rsidRPr="006F7ACA">
        <w:rPr>
          <w:rFonts w:cs="Arial"/>
          <w:szCs w:val="24"/>
        </w:rPr>
        <w:t>There is a variance of £250k in relation to the Careline Devices Replacement Programme and this will be slipped to 2022/23 as the programme is phased over two years.  There are no revenue implications as a result of this slippage.</w:t>
      </w:r>
    </w:p>
    <w:p w14:paraId="32F586A6" w14:textId="77777777" w:rsidR="008470E0" w:rsidRPr="000D0DD2" w:rsidRDefault="008470E0" w:rsidP="008470E0">
      <w:pPr>
        <w:ind w:firstLine="567"/>
        <w:jc w:val="both"/>
        <w:rPr>
          <w:rFonts w:cs="Arial"/>
          <w:b/>
          <w:color w:val="FF0000"/>
          <w:szCs w:val="24"/>
          <w:lang w:val="en-US"/>
        </w:rPr>
      </w:pPr>
    </w:p>
    <w:p w14:paraId="7434877F" w14:textId="13C2CB14" w:rsidR="008470E0" w:rsidRPr="000239ED" w:rsidRDefault="008470E0" w:rsidP="008470E0">
      <w:pPr>
        <w:ind w:firstLine="567"/>
        <w:jc w:val="both"/>
        <w:rPr>
          <w:rFonts w:cs="Arial"/>
          <w:b/>
          <w:szCs w:val="24"/>
          <w:lang w:val="en-US"/>
        </w:rPr>
      </w:pPr>
      <w:r w:rsidRPr="000239ED">
        <w:rPr>
          <w:rFonts w:cs="Arial"/>
          <w:b/>
          <w:szCs w:val="24"/>
          <w:lang w:val="en-US"/>
        </w:rPr>
        <w:t xml:space="preserve">COMMUNITY </w:t>
      </w:r>
    </w:p>
    <w:p w14:paraId="1E3F0C99" w14:textId="77777777" w:rsidR="008470E0" w:rsidRPr="000239ED" w:rsidRDefault="008470E0" w:rsidP="008470E0">
      <w:pPr>
        <w:pStyle w:val="ListParagraph"/>
        <w:tabs>
          <w:tab w:val="left" w:pos="567"/>
        </w:tabs>
        <w:ind w:left="567"/>
        <w:jc w:val="both"/>
        <w:rPr>
          <w:szCs w:val="24"/>
        </w:rPr>
      </w:pPr>
    </w:p>
    <w:p w14:paraId="02CC9CE6" w14:textId="10A03610" w:rsidR="008470E0" w:rsidRPr="000239ED" w:rsidRDefault="008470E0" w:rsidP="008470E0">
      <w:pPr>
        <w:pStyle w:val="ListParagraph"/>
        <w:numPr>
          <w:ilvl w:val="0"/>
          <w:numId w:val="5"/>
        </w:numPr>
        <w:tabs>
          <w:tab w:val="left" w:pos="567"/>
          <w:tab w:val="left" w:pos="709"/>
        </w:tabs>
        <w:ind w:left="567" w:hanging="567"/>
        <w:jc w:val="both"/>
        <w:rPr>
          <w:rFonts w:cs="Arial"/>
          <w:szCs w:val="24"/>
        </w:rPr>
      </w:pPr>
      <w:r w:rsidRPr="000239ED">
        <w:rPr>
          <w:rFonts w:cs="Arial"/>
          <w:bCs/>
          <w:szCs w:val="24"/>
        </w:rPr>
        <w:t xml:space="preserve">As at </w:t>
      </w:r>
      <w:r w:rsidR="000239ED" w:rsidRPr="000239ED">
        <w:rPr>
          <w:rFonts w:cs="Arial"/>
          <w:bCs/>
          <w:szCs w:val="24"/>
        </w:rPr>
        <w:t>Q2</w:t>
      </w:r>
      <w:r w:rsidRPr="000239ED">
        <w:rPr>
          <w:rFonts w:cs="Arial"/>
          <w:bCs/>
          <w:szCs w:val="24"/>
        </w:rPr>
        <w:t xml:space="preserve"> the Community Directorate forecast is an overall spend of £6</w:t>
      </w:r>
      <w:r w:rsidR="000239ED" w:rsidRPr="000239ED">
        <w:rPr>
          <w:rFonts w:cs="Arial"/>
          <w:bCs/>
          <w:szCs w:val="24"/>
        </w:rPr>
        <w:t xml:space="preserve">2.716m </w:t>
      </w:r>
      <w:r w:rsidRPr="000239ED">
        <w:rPr>
          <w:rFonts w:cs="Arial"/>
          <w:bCs/>
          <w:szCs w:val="24"/>
        </w:rPr>
        <w:t>which represents 9</w:t>
      </w:r>
      <w:r w:rsidR="000239ED" w:rsidRPr="000239ED">
        <w:rPr>
          <w:rFonts w:cs="Arial"/>
          <w:bCs/>
          <w:szCs w:val="24"/>
        </w:rPr>
        <w:t>0</w:t>
      </w:r>
      <w:r w:rsidRPr="000239ED">
        <w:rPr>
          <w:rFonts w:cs="Arial"/>
          <w:bCs/>
          <w:szCs w:val="24"/>
        </w:rPr>
        <w:t>% of the total budget.</w:t>
      </w:r>
    </w:p>
    <w:p w14:paraId="7EABCBF0" w14:textId="77777777" w:rsidR="008470E0" w:rsidRPr="000239ED" w:rsidRDefault="008470E0" w:rsidP="008470E0">
      <w:pPr>
        <w:tabs>
          <w:tab w:val="left" w:pos="709"/>
        </w:tabs>
        <w:jc w:val="both"/>
        <w:rPr>
          <w:rFonts w:cs="Arial"/>
          <w:szCs w:val="24"/>
        </w:rPr>
      </w:pPr>
    </w:p>
    <w:p w14:paraId="1FBBB2B9" w14:textId="699BD25D" w:rsidR="008470E0" w:rsidRPr="000239ED" w:rsidRDefault="008470E0" w:rsidP="008470E0">
      <w:pPr>
        <w:pStyle w:val="ListParagraph"/>
        <w:numPr>
          <w:ilvl w:val="0"/>
          <w:numId w:val="5"/>
        </w:numPr>
        <w:tabs>
          <w:tab w:val="left" w:pos="567"/>
        </w:tabs>
        <w:ind w:left="567" w:hanging="567"/>
        <w:jc w:val="both"/>
        <w:rPr>
          <w:rFonts w:cs="Arial"/>
          <w:szCs w:val="24"/>
        </w:rPr>
      </w:pPr>
      <w:r w:rsidRPr="000239ED">
        <w:rPr>
          <w:rFonts w:cs="Arial"/>
          <w:bCs/>
          <w:szCs w:val="24"/>
        </w:rPr>
        <w:t>The forecast variance of £</w:t>
      </w:r>
      <w:r w:rsidR="000239ED" w:rsidRPr="000239ED">
        <w:rPr>
          <w:rFonts w:cs="Arial"/>
          <w:bCs/>
          <w:szCs w:val="24"/>
        </w:rPr>
        <w:t>2.113</w:t>
      </w:r>
      <w:r w:rsidRPr="000239ED">
        <w:rPr>
          <w:rFonts w:cs="Arial"/>
          <w:bCs/>
          <w:szCs w:val="24"/>
        </w:rPr>
        <w:t>m is planned to be slipped into 2022/23 and £</w:t>
      </w:r>
      <w:r w:rsidR="000239ED" w:rsidRPr="000239ED">
        <w:rPr>
          <w:rFonts w:cs="Arial"/>
          <w:bCs/>
          <w:szCs w:val="24"/>
        </w:rPr>
        <w:t>4.480</w:t>
      </w:r>
      <w:r w:rsidRPr="000239ED">
        <w:rPr>
          <w:rFonts w:cs="Arial"/>
          <w:bCs/>
          <w:szCs w:val="24"/>
        </w:rPr>
        <w:t>m is forecast as underspend in this year’s Capital Programme.</w:t>
      </w:r>
    </w:p>
    <w:p w14:paraId="7EC42969" w14:textId="77777777" w:rsidR="008470E0" w:rsidRPr="000D0DD2" w:rsidRDefault="008470E0" w:rsidP="008470E0">
      <w:pPr>
        <w:rPr>
          <w:rFonts w:cs="Arial"/>
          <w:color w:val="FF0000"/>
          <w:szCs w:val="24"/>
        </w:rPr>
      </w:pPr>
    </w:p>
    <w:p w14:paraId="4675A8EA" w14:textId="77777777" w:rsidR="008470E0" w:rsidRPr="00113ED7" w:rsidRDefault="008470E0" w:rsidP="008470E0">
      <w:pPr>
        <w:pStyle w:val="ListParagraph"/>
        <w:ind w:left="567"/>
        <w:jc w:val="both"/>
        <w:rPr>
          <w:rFonts w:cs="Arial"/>
          <w:b/>
          <w:szCs w:val="24"/>
        </w:rPr>
      </w:pPr>
      <w:r w:rsidRPr="00113ED7">
        <w:rPr>
          <w:rFonts w:cs="Arial"/>
          <w:b/>
          <w:szCs w:val="24"/>
        </w:rPr>
        <w:t xml:space="preserve">Environment </w:t>
      </w:r>
    </w:p>
    <w:p w14:paraId="2ADDF7F2" w14:textId="77777777" w:rsidR="008470E0" w:rsidRPr="00113ED7" w:rsidRDefault="008470E0" w:rsidP="008470E0">
      <w:pPr>
        <w:pStyle w:val="ListParagraph"/>
        <w:ind w:left="567"/>
        <w:jc w:val="both"/>
        <w:rPr>
          <w:rFonts w:cs="Arial"/>
          <w:szCs w:val="24"/>
        </w:rPr>
      </w:pPr>
    </w:p>
    <w:p w14:paraId="207DB7B6" w14:textId="6DC1194A" w:rsidR="008470E0" w:rsidRPr="00113ED7" w:rsidRDefault="008470E0" w:rsidP="008470E0">
      <w:pPr>
        <w:pStyle w:val="ListParagraph"/>
        <w:numPr>
          <w:ilvl w:val="0"/>
          <w:numId w:val="5"/>
        </w:numPr>
        <w:tabs>
          <w:tab w:val="left" w:pos="567"/>
        </w:tabs>
        <w:ind w:left="567" w:hanging="567"/>
        <w:jc w:val="both"/>
        <w:rPr>
          <w:rFonts w:cs="Arial"/>
          <w:szCs w:val="24"/>
        </w:rPr>
      </w:pPr>
      <w:r w:rsidRPr="00113ED7">
        <w:rPr>
          <w:rFonts w:cs="Arial"/>
          <w:szCs w:val="24"/>
        </w:rPr>
        <w:t>The services forecast to spend £3</w:t>
      </w:r>
      <w:r w:rsidR="00113ED7" w:rsidRPr="00113ED7">
        <w:rPr>
          <w:rFonts w:cs="Arial"/>
          <w:szCs w:val="24"/>
        </w:rPr>
        <w:t>6.617</w:t>
      </w:r>
      <w:r w:rsidRPr="00113ED7">
        <w:rPr>
          <w:rFonts w:cs="Arial"/>
          <w:szCs w:val="24"/>
        </w:rPr>
        <w:t xml:space="preserve">m in 2021/22 and to slip a budget of £0.060m to 2022/23. £1.691m is reported as budget underspend. Projects with a budget variance are summarised below. </w:t>
      </w:r>
    </w:p>
    <w:p w14:paraId="11FD8ED2" w14:textId="77777777" w:rsidR="008470E0" w:rsidRPr="00113ED7" w:rsidRDefault="008470E0" w:rsidP="008470E0">
      <w:pPr>
        <w:pStyle w:val="ListParagraph"/>
        <w:jc w:val="both"/>
        <w:rPr>
          <w:rFonts w:cs="Arial"/>
          <w:szCs w:val="24"/>
        </w:rPr>
      </w:pPr>
    </w:p>
    <w:p w14:paraId="475CCFA0" w14:textId="77777777" w:rsidR="008470E0" w:rsidRPr="00E84181" w:rsidRDefault="008470E0" w:rsidP="008470E0">
      <w:pPr>
        <w:pStyle w:val="ListParagraph"/>
        <w:numPr>
          <w:ilvl w:val="0"/>
          <w:numId w:val="5"/>
        </w:numPr>
        <w:ind w:left="567" w:hanging="567"/>
        <w:jc w:val="both"/>
        <w:rPr>
          <w:rFonts w:cs="Arial"/>
          <w:szCs w:val="24"/>
        </w:rPr>
      </w:pPr>
      <w:r w:rsidRPr="00113ED7">
        <w:rPr>
          <w:rFonts w:cs="Arial"/>
          <w:szCs w:val="24"/>
        </w:rPr>
        <w:t xml:space="preserve">There are a couple of major transport infrastructure projects in Wealdstone area in the capital programme – Bus Improvements scheme and Liveable Neighbourhood. Both projects require significant external funding from TfL supported by a match fund from BCIL. TfL funding has been adversely affected by the Covid-19 pandemic. Following its funding review, TfL confirmed the release of the funding for the bus improvements scheme in 2021/22 to continue the works that started in the previous financial year. However, no funding has been allocated for Liveable Neighbourhood. £300k was originally assumed to be allocated in 2021/22 </w:t>
      </w:r>
      <w:r w:rsidRPr="00E84181">
        <w:rPr>
          <w:rFonts w:cs="Arial"/>
          <w:szCs w:val="24"/>
        </w:rPr>
        <w:t xml:space="preserve">capital programme, and this is forecast as an underspend until there is any update from TfL funding. </w:t>
      </w:r>
    </w:p>
    <w:p w14:paraId="4E9615F3" w14:textId="77777777" w:rsidR="008470E0" w:rsidRPr="00E84181" w:rsidRDefault="008470E0" w:rsidP="008470E0">
      <w:pPr>
        <w:pStyle w:val="ListParagraph"/>
        <w:rPr>
          <w:rFonts w:cs="Arial"/>
          <w:szCs w:val="24"/>
        </w:rPr>
      </w:pPr>
    </w:p>
    <w:p w14:paraId="6ED4E989" w14:textId="5B077B0D" w:rsidR="008470E0" w:rsidRPr="00E84181" w:rsidRDefault="008470E0" w:rsidP="008470E0">
      <w:pPr>
        <w:pStyle w:val="ListParagraph"/>
        <w:numPr>
          <w:ilvl w:val="0"/>
          <w:numId w:val="5"/>
        </w:numPr>
        <w:ind w:left="567" w:hanging="567"/>
        <w:jc w:val="both"/>
        <w:rPr>
          <w:rFonts w:cs="Arial"/>
          <w:szCs w:val="24"/>
        </w:rPr>
      </w:pPr>
      <w:r w:rsidRPr="00E84181">
        <w:rPr>
          <w:rFonts w:cs="Arial"/>
          <w:szCs w:val="24"/>
        </w:rPr>
        <w:t xml:space="preserve">TfL funding update is awaited on the annual Local Implementation Plan, therefore the budget of £1.391m in the capital programme is reported as an underspend. </w:t>
      </w:r>
    </w:p>
    <w:p w14:paraId="791019F0" w14:textId="77777777" w:rsidR="008470E0" w:rsidRPr="00E84181" w:rsidRDefault="008470E0" w:rsidP="008470E0">
      <w:pPr>
        <w:pStyle w:val="ListParagraph"/>
        <w:rPr>
          <w:rFonts w:cs="Arial"/>
          <w:szCs w:val="24"/>
        </w:rPr>
      </w:pPr>
    </w:p>
    <w:p w14:paraId="79BFFF0D" w14:textId="36428A84" w:rsidR="008470E0" w:rsidRPr="00E84181" w:rsidRDefault="008470E0" w:rsidP="008470E0">
      <w:pPr>
        <w:pStyle w:val="ListParagraph"/>
        <w:numPr>
          <w:ilvl w:val="0"/>
          <w:numId w:val="5"/>
        </w:numPr>
        <w:ind w:left="567" w:hanging="567"/>
        <w:jc w:val="both"/>
        <w:rPr>
          <w:rFonts w:cs="Arial"/>
          <w:szCs w:val="24"/>
        </w:rPr>
      </w:pPr>
      <w:r w:rsidRPr="00E84181">
        <w:rPr>
          <w:rFonts w:cs="Arial"/>
          <w:szCs w:val="24"/>
        </w:rPr>
        <w:t xml:space="preserve">There is a budget of £0.060m allocated for vehicles procurement in 2021/22. This is primarily for the replacement of a couple of </w:t>
      </w:r>
      <w:r w:rsidR="00113ED7" w:rsidRPr="00E84181">
        <w:rPr>
          <w:rFonts w:cs="Arial"/>
          <w:szCs w:val="24"/>
        </w:rPr>
        <w:t>small vehicles</w:t>
      </w:r>
      <w:r w:rsidRPr="00E84181">
        <w:rPr>
          <w:rFonts w:cs="Arial"/>
          <w:szCs w:val="24"/>
        </w:rPr>
        <w:t xml:space="preserve"> according to their age profile. Following an assessment on vehicles’ condition, it is decided that the vehicles are to be kept for another year and therefore this budget is slipped to 2022/23. </w:t>
      </w:r>
    </w:p>
    <w:p w14:paraId="7D45BD57" w14:textId="77777777" w:rsidR="00E84181" w:rsidRPr="00E84181" w:rsidRDefault="00E84181" w:rsidP="00E84181">
      <w:pPr>
        <w:pStyle w:val="ListParagraph"/>
        <w:rPr>
          <w:rFonts w:cs="Arial"/>
          <w:szCs w:val="24"/>
        </w:rPr>
      </w:pPr>
    </w:p>
    <w:p w14:paraId="636DCC17" w14:textId="77777777" w:rsidR="00E84181" w:rsidRPr="00E84181" w:rsidRDefault="00E84181" w:rsidP="00E84181">
      <w:pPr>
        <w:pStyle w:val="ListParagraph"/>
        <w:numPr>
          <w:ilvl w:val="0"/>
          <w:numId w:val="5"/>
        </w:numPr>
        <w:ind w:left="567" w:hanging="567"/>
        <w:jc w:val="both"/>
        <w:rPr>
          <w:rFonts w:cs="Arial"/>
          <w:szCs w:val="24"/>
        </w:rPr>
      </w:pPr>
      <w:r w:rsidRPr="00E84181">
        <w:rPr>
          <w:rFonts w:cs="Arial"/>
          <w:szCs w:val="24"/>
        </w:rPr>
        <w:t>The Wealdstone Future High Street Fund project is funded by MHCLG with a match fund from BCIL. There is a total budget of £9.209m over 3 years. £1.500m was originally estimated for year 1 when the Capital Programme was prepared. Subsequent reviews of the project plan and the signing of the Memorandum of Understanding confirm the funding profiled to year 1 of £0.960m. Therefore the £0.540m in 2021/22 is forecast to be slipped to 2022/23.</w:t>
      </w:r>
    </w:p>
    <w:p w14:paraId="24E75D09" w14:textId="5AE8DA17" w:rsidR="00E84181" w:rsidRDefault="00E84181" w:rsidP="008470E0">
      <w:pPr>
        <w:ind w:left="567"/>
        <w:jc w:val="both"/>
        <w:rPr>
          <w:rFonts w:cs="Arial"/>
          <w:b/>
          <w:color w:val="FF0000"/>
          <w:szCs w:val="24"/>
        </w:rPr>
      </w:pPr>
    </w:p>
    <w:p w14:paraId="32038A8F" w14:textId="77777777" w:rsidR="00E84181" w:rsidRPr="00E84181" w:rsidRDefault="00E84181" w:rsidP="008470E0">
      <w:pPr>
        <w:ind w:left="567"/>
        <w:jc w:val="both"/>
        <w:rPr>
          <w:rFonts w:cs="Arial"/>
          <w:b/>
          <w:szCs w:val="24"/>
        </w:rPr>
      </w:pPr>
    </w:p>
    <w:p w14:paraId="55A88118" w14:textId="22E57E60" w:rsidR="008470E0" w:rsidRPr="00E84181" w:rsidRDefault="008470E0" w:rsidP="008470E0">
      <w:pPr>
        <w:ind w:left="567"/>
        <w:jc w:val="both"/>
        <w:rPr>
          <w:rFonts w:cs="Arial"/>
          <w:b/>
          <w:szCs w:val="24"/>
        </w:rPr>
      </w:pPr>
      <w:r w:rsidRPr="00E84181">
        <w:rPr>
          <w:rFonts w:cs="Arial"/>
          <w:b/>
          <w:szCs w:val="24"/>
        </w:rPr>
        <w:t>Culture</w:t>
      </w:r>
    </w:p>
    <w:p w14:paraId="3C6D5ACC" w14:textId="77777777" w:rsidR="008470E0" w:rsidRPr="00E84181" w:rsidRDefault="008470E0" w:rsidP="008470E0">
      <w:pPr>
        <w:pStyle w:val="ListParagraph"/>
        <w:tabs>
          <w:tab w:val="left" w:pos="567"/>
        </w:tabs>
        <w:ind w:left="567"/>
        <w:jc w:val="both"/>
        <w:rPr>
          <w:rFonts w:cs="Arial"/>
          <w:szCs w:val="24"/>
        </w:rPr>
      </w:pPr>
    </w:p>
    <w:p w14:paraId="4A411F39" w14:textId="69B7F798" w:rsidR="008470E0" w:rsidRPr="00E84181" w:rsidRDefault="008470E0" w:rsidP="008470E0">
      <w:pPr>
        <w:pStyle w:val="ListParagraph"/>
        <w:numPr>
          <w:ilvl w:val="0"/>
          <w:numId w:val="5"/>
        </w:numPr>
        <w:tabs>
          <w:tab w:val="left" w:pos="567"/>
        </w:tabs>
        <w:ind w:left="567" w:hanging="567"/>
        <w:jc w:val="both"/>
        <w:rPr>
          <w:rFonts w:cs="Arial"/>
          <w:szCs w:val="24"/>
        </w:rPr>
      </w:pPr>
      <w:r w:rsidRPr="00E84181">
        <w:rPr>
          <w:rFonts w:cs="Arial"/>
          <w:szCs w:val="24"/>
        </w:rPr>
        <w:t>The services forecast to spend £</w:t>
      </w:r>
      <w:r w:rsidR="00E84181" w:rsidRPr="00E84181">
        <w:rPr>
          <w:rFonts w:cs="Arial"/>
          <w:szCs w:val="24"/>
        </w:rPr>
        <w:t>1.445</w:t>
      </w:r>
      <w:r w:rsidRPr="00E84181">
        <w:rPr>
          <w:rFonts w:cs="Arial"/>
          <w:szCs w:val="24"/>
        </w:rPr>
        <w:t>m in 2021/22 and to slip a budget of £</w:t>
      </w:r>
      <w:r w:rsidR="00E84181" w:rsidRPr="00E84181">
        <w:rPr>
          <w:rFonts w:cs="Arial"/>
          <w:szCs w:val="24"/>
        </w:rPr>
        <w:t>1.513</w:t>
      </w:r>
      <w:r w:rsidRPr="00E84181">
        <w:rPr>
          <w:rFonts w:cs="Arial"/>
          <w:szCs w:val="24"/>
        </w:rPr>
        <w:t xml:space="preserve">m to 2022/23. Projects with a budget variance are summarised below. </w:t>
      </w:r>
    </w:p>
    <w:p w14:paraId="3F57A2C0" w14:textId="77777777" w:rsidR="008470E0" w:rsidRPr="00E84181" w:rsidRDefault="008470E0" w:rsidP="008470E0">
      <w:pPr>
        <w:rPr>
          <w:rFonts w:cs="Arial"/>
          <w:szCs w:val="24"/>
        </w:rPr>
      </w:pPr>
    </w:p>
    <w:p w14:paraId="304F1EC8" w14:textId="72B91DD4" w:rsidR="00E84181" w:rsidRPr="00E84181" w:rsidRDefault="00E84181" w:rsidP="00E84181">
      <w:pPr>
        <w:pStyle w:val="ListParagraph"/>
        <w:numPr>
          <w:ilvl w:val="0"/>
          <w:numId w:val="5"/>
        </w:numPr>
        <w:tabs>
          <w:tab w:val="left" w:pos="567"/>
        </w:tabs>
        <w:ind w:left="567" w:hanging="567"/>
        <w:jc w:val="both"/>
        <w:rPr>
          <w:rFonts w:cs="Arial"/>
          <w:szCs w:val="24"/>
        </w:rPr>
      </w:pPr>
      <w:r w:rsidRPr="00E84181">
        <w:rPr>
          <w:rFonts w:cs="Arial"/>
          <w:szCs w:val="24"/>
        </w:rPr>
        <w:t xml:space="preserve">Harrow Arts Centre refurbishment. This project is for multiple years and is funded by the GLA and BCIL. The refurbishment of existing buildings was completed in previous years, while the New Build phase is programmed in 2021/22. An initial tender exercise for the New Build was completed, however the costs exceeded the funding envelope. A decision was then made to re-tender the project based on a design and build contract instead. The delay in appointing a contractor means that the majority of </w:t>
      </w:r>
      <w:r w:rsidRPr="00E84181">
        <w:rPr>
          <w:rFonts w:cs="Arial"/>
          <w:szCs w:val="24"/>
        </w:rPr>
        <w:lastRenderedPageBreak/>
        <w:t xml:space="preserve">works will be delivered next year and therefore £1.513m is slipped to 2022/23. </w:t>
      </w:r>
    </w:p>
    <w:p w14:paraId="665CBCFD" w14:textId="77777777" w:rsidR="00E84181" w:rsidRPr="00E84181" w:rsidRDefault="00E84181" w:rsidP="00E84181">
      <w:pPr>
        <w:pStyle w:val="ListParagraph"/>
        <w:rPr>
          <w:rFonts w:cs="Arial"/>
          <w:szCs w:val="24"/>
        </w:rPr>
      </w:pPr>
    </w:p>
    <w:p w14:paraId="0ECB2A0D" w14:textId="77777777" w:rsidR="00E84181" w:rsidRPr="00E84181" w:rsidRDefault="00E84181" w:rsidP="00E84181">
      <w:pPr>
        <w:pStyle w:val="ListParagraph"/>
        <w:tabs>
          <w:tab w:val="left" w:pos="709"/>
        </w:tabs>
        <w:ind w:left="567"/>
        <w:jc w:val="both"/>
        <w:rPr>
          <w:rFonts w:cs="Arial"/>
          <w:szCs w:val="24"/>
        </w:rPr>
      </w:pPr>
    </w:p>
    <w:p w14:paraId="2318FD08" w14:textId="77777777" w:rsidR="00E84181" w:rsidRPr="00E84181" w:rsidRDefault="00E84181" w:rsidP="00E84181">
      <w:pPr>
        <w:pStyle w:val="ListParagraph"/>
        <w:numPr>
          <w:ilvl w:val="0"/>
          <w:numId w:val="5"/>
        </w:numPr>
        <w:ind w:left="567" w:hanging="567"/>
        <w:jc w:val="both"/>
        <w:rPr>
          <w:rFonts w:cs="Arial"/>
          <w:szCs w:val="24"/>
        </w:rPr>
      </w:pPr>
      <w:r w:rsidRPr="00E84181">
        <w:rPr>
          <w:rFonts w:cs="Arial"/>
          <w:szCs w:val="24"/>
        </w:rPr>
        <w:t>Unless explicitly stated above there are no revenue implications as a result of the slippage.</w:t>
      </w:r>
    </w:p>
    <w:p w14:paraId="7432FCCA" w14:textId="027C3B8B" w:rsidR="008470E0" w:rsidRDefault="008470E0" w:rsidP="008470E0">
      <w:pPr>
        <w:pStyle w:val="ListParagraph"/>
        <w:rPr>
          <w:rFonts w:cs="Arial"/>
          <w:color w:val="FF0000"/>
          <w:szCs w:val="24"/>
        </w:rPr>
      </w:pPr>
    </w:p>
    <w:p w14:paraId="7304F818" w14:textId="20AE9E32" w:rsidR="00E84181" w:rsidRDefault="00E84181" w:rsidP="008470E0">
      <w:pPr>
        <w:pStyle w:val="ListParagraph"/>
        <w:rPr>
          <w:rFonts w:cs="Arial"/>
          <w:color w:val="FF0000"/>
          <w:szCs w:val="24"/>
        </w:rPr>
      </w:pPr>
    </w:p>
    <w:p w14:paraId="6318D45B" w14:textId="77777777" w:rsidR="008470E0" w:rsidRPr="00E84181" w:rsidRDefault="008470E0" w:rsidP="008470E0">
      <w:pPr>
        <w:pStyle w:val="ListParagraph"/>
        <w:tabs>
          <w:tab w:val="left" w:pos="709"/>
        </w:tabs>
        <w:ind w:left="567"/>
        <w:jc w:val="both"/>
        <w:rPr>
          <w:rFonts w:cs="Arial"/>
          <w:b/>
          <w:szCs w:val="24"/>
        </w:rPr>
      </w:pPr>
      <w:r w:rsidRPr="00E84181">
        <w:rPr>
          <w:rFonts w:cs="Arial"/>
          <w:b/>
          <w:szCs w:val="24"/>
        </w:rPr>
        <w:t>Enterprise &amp; Planning</w:t>
      </w:r>
    </w:p>
    <w:p w14:paraId="4A979461" w14:textId="77777777" w:rsidR="008470E0" w:rsidRPr="00E84181" w:rsidRDefault="008470E0" w:rsidP="008470E0">
      <w:pPr>
        <w:pStyle w:val="ListParagraph"/>
        <w:tabs>
          <w:tab w:val="left" w:pos="709"/>
        </w:tabs>
        <w:ind w:left="567"/>
        <w:jc w:val="both"/>
        <w:rPr>
          <w:rFonts w:cs="Arial"/>
          <w:szCs w:val="24"/>
        </w:rPr>
      </w:pPr>
    </w:p>
    <w:p w14:paraId="3877259C" w14:textId="27AFC14A" w:rsidR="008470E0" w:rsidRPr="00E84181" w:rsidRDefault="008470E0" w:rsidP="00E84181">
      <w:pPr>
        <w:pStyle w:val="ListParagraph"/>
        <w:numPr>
          <w:ilvl w:val="0"/>
          <w:numId w:val="5"/>
        </w:numPr>
        <w:tabs>
          <w:tab w:val="left" w:pos="709"/>
        </w:tabs>
        <w:ind w:left="567" w:hanging="567"/>
        <w:jc w:val="both"/>
        <w:rPr>
          <w:rFonts w:cs="Arial"/>
          <w:szCs w:val="24"/>
        </w:rPr>
      </w:pPr>
      <w:r w:rsidRPr="00E84181">
        <w:rPr>
          <w:rFonts w:cs="Arial"/>
          <w:szCs w:val="24"/>
        </w:rPr>
        <w:t xml:space="preserve">The services forecast to spend </w:t>
      </w:r>
      <w:r w:rsidR="00E84181" w:rsidRPr="00E84181">
        <w:rPr>
          <w:rFonts w:cs="Arial"/>
          <w:szCs w:val="24"/>
        </w:rPr>
        <w:t>the full budget allocation of £3.385m in 2021/22.</w:t>
      </w:r>
    </w:p>
    <w:p w14:paraId="4DEAA6DD" w14:textId="77777777" w:rsidR="008470E0" w:rsidRPr="00E84181" w:rsidRDefault="008470E0" w:rsidP="008470E0">
      <w:pPr>
        <w:pStyle w:val="ListParagraph"/>
        <w:tabs>
          <w:tab w:val="left" w:pos="709"/>
        </w:tabs>
        <w:ind w:left="567"/>
        <w:jc w:val="both"/>
        <w:rPr>
          <w:rFonts w:cs="Arial"/>
          <w:color w:val="FF0000"/>
          <w:szCs w:val="24"/>
        </w:rPr>
      </w:pPr>
    </w:p>
    <w:p w14:paraId="3E105A48" w14:textId="77777777" w:rsidR="008470E0" w:rsidRPr="00E84181" w:rsidRDefault="008470E0" w:rsidP="008470E0">
      <w:pPr>
        <w:pStyle w:val="ListParagraph"/>
        <w:tabs>
          <w:tab w:val="left" w:pos="709"/>
        </w:tabs>
        <w:ind w:left="567"/>
        <w:jc w:val="both"/>
        <w:rPr>
          <w:rFonts w:cs="Arial"/>
          <w:b/>
          <w:szCs w:val="24"/>
        </w:rPr>
      </w:pPr>
      <w:r w:rsidRPr="00E84181">
        <w:rPr>
          <w:rFonts w:cs="Arial"/>
          <w:b/>
          <w:szCs w:val="24"/>
        </w:rPr>
        <w:t>Housing General Fund</w:t>
      </w:r>
    </w:p>
    <w:p w14:paraId="14644883" w14:textId="77777777" w:rsidR="008470E0" w:rsidRPr="00E84181" w:rsidRDefault="008470E0" w:rsidP="008470E0">
      <w:pPr>
        <w:pStyle w:val="ListParagraph"/>
        <w:tabs>
          <w:tab w:val="left" w:pos="709"/>
        </w:tabs>
        <w:ind w:left="567"/>
        <w:jc w:val="both"/>
        <w:rPr>
          <w:rFonts w:cs="Arial"/>
          <w:b/>
          <w:szCs w:val="24"/>
          <w:u w:val="single"/>
        </w:rPr>
      </w:pPr>
    </w:p>
    <w:p w14:paraId="18F1F5E1" w14:textId="77777777" w:rsidR="00E84181" w:rsidRDefault="00E84181" w:rsidP="00E84181">
      <w:pPr>
        <w:pStyle w:val="ListParagraph"/>
        <w:numPr>
          <w:ilvl w:val="0"/>
          <w:numId w:val="5"/>
        </w:numPr>
        <w:tabs>
          <w:tab w:val="left" w:pos="567"/>
        </w:tabs>
        <w:ind w:left="567" w:hanging="567"/>
        <w:jc w:val="both"/>
        <w:rPr>
          <w:rFonts w:cs="Arial"/>
          <w:szCs w:val="24"/>
        </w:rPr>
      </w:pPr>
      <w:r w:rsidRPr="00E84181">
        <w:rPr>
          <w:rFonts w:cs="Arial"/>
          <w:szCs w:val="24"/>
        </w:rPr>
        <w:t xml:space="preserve">The services forecast to spend £9.559m in 2021/22. £2.789m is reported as a budget underspend. Projects with a budget variance are summarised below. </w:t>
      </w:r>
    </w:p>
    <w:p w14:paraId="637FF6B3" w14:textId="77777777" w:rsidR="00E84181" w:rsidRDefault="00E84181" w:rsidP="00E84181">
      <w:pPr>
        <w:pStyle w:val="ListParagraph"/>
        <w:tabs>
          <w:tab w:val="left" w:pos="567"/>
        </w:tabs>
        <w:ind w:left="567"/>
        <w:jc w:val="both"/>
        <w:rPr>
          <w:rFonts w:cs="Arial"/>
          <w:szCs w:val="24"/>
        </w:rPr>
      </w:pPr>
    </w:p>
    <w:p w14:paraId="4FC84C90" w14:textId="255E6CB2" w:rsidR="00E84181" w:rsidRDefault="00E84181" w:rsidP="00E84181">
      <w:pPr>
        <w:pStyle w:val="ListParagraph"/>
        <w:numPr>
          <w:ilvl w:val="0"/>
          <w:numId w:val="5"/>
        </w:numPr>
        <w:tabs>
          <w:tab w:val="left" w:pos="567"/>
        </w:tabs>
        <w:ind w:left="567" w:hanging="567"/>
        <w:jc w:val="both"/>
        <w:rPr>
          <w:rFonts w:cs="Arial"/>
          <w:szCs w:val="24"/>
        </w:rPr>
      </w:pPr>
      <w:r w:rsidRPr="00E84181">
        <w:rPr>
          <w:rFonts w:cs="Arial"/>
          <w:szCs w:val="24"/>
        </w:rPr>
        <w:t xml:space="preserve">Additional DFG grant was carried forward </w:t>
      </w:r>
      <w:r w:rsidR="00D22E2F">
        <w:rPr>
          <w:rFonts w:cs="Arial"/>
          <w:szCs w:val="24"/>
        </w:rPr>
        <w:t>from</w:t>
      </w:r>
      <w:r>
        <w:rPr>
          <w:rFonts w:cs="Arial"/>
          <w:szCs w:val="24"/>
        </w:rPr>
        <w:t xml:space="preserve"> 2020/2</w:t>
      </w:r>
      <w:r w:rsidR="00D22E2F">
        <w:rPr>
          <w:rFonts w:cs="Arial"/>
          <w:szCs w:val="24"/>
        </w:rPr>
        <w:t xml:space="preserve">1 </w:t>
      </w:r>
      <w:r w:rsidRPr="00E84181">
        <w:rPr>
          <w:rFonts w:cs="Arial"/>
          <w:szCs w:val="24"/>
        </w:rPr>
        <w:t>resulting in a corresponding £0.085m reduction in borrowing requirement for 2021/22.</w:t>
      </w:r>
    </w:p>
    <w:p w14:paraId="522E12B1" w14:textId="77777777" w:rsidR="00E84181" w:rsidRPr="00E84181" w:rsidRDefault="00E84181" w:rsidP="00E84181">
      <w:pPr>
        <w:pStyle w:val="ListParagraph"/>
        <w:rPr>
          <w:rFonts w:cs="Arial"/>
          <w:szCs w:val="24"/>
        </w:rPr>
      </w:pPr>
    </w:p>
    <w:p w14:paraId="07418246" w14:textId="78FDB67D" w:rsidR="00E84181" w:rsidRDefault="00E84181" w:rsidP="00E84181">
      <w:pPr>
        <w:pStyle w:val="ListParagraph"/>
        <w:numPr>
          <w:ilvl w:val="0"/>
          <w:numId w:val="5"/>
        </w:numPr>
        <w:tabs>
          <w:tab w:val="left" w:pos="567"/>
        </w:tabs>
        <w:ind w:left="567" w:hanging="567"/>
        <w:jc w:val="both"/>
        <w:rPr>
          <w:rFonts w:cs="Arial"/>
          <w:szCs w:val="24"/>
        </w:rPr>
      </w:pPr>
      <w:r w:rsidRPr="00E84181">
        <w:rPr>
          <w:rFonts w:cs="Arial"/>
          <w:szCs w:val="24"/>
        </w:rPr>
        <w:t>Property Acquisition programme</w:t>
      </w:r>
      <w:r w:rsidR="00D22E2F">
        <w:rPr>
          <w:rFonts w:cs="Arial"/>
          <w:szCs w:val="24"/>
        </w:rPr>
        <w:t xml:space="preserve"> – </w:t>
      </w:r>
      <w:r w:rsidRPr="00E84181">
        <w:rPr>
          <w:rFonts w:cs="Arial"/>
          <w:szCs w:val="24"/>
        </w:rPr>
        <w:t>32 additional homes</w:t>
      </w:r>
      <w:r w:rsidR="00D22E2F">
        <w:rPr>
          <w:rFonts w:cs="Arial"/>
          <w:szCs w:val="24"/>
        </w:rPr>
        <w:t xml:space="preserve">. </w:t>
      </w:r>
      <w:r w:rsidRPr="00E84181">
        <w:rPr>
          <w:rFonts w:cs="Arial"/>
          <w:szCs w:val="24"/>
        </w:rPr>
        <w:t>Budget was carr</w:t>
      </w:r>
      <w:r w:rsidR="00D22E2F">
        <w:rPr>
          <w:rFonts w:cs="Arial"/>
          <w:szCs w:val="24"/>
        </w:rPr>
        <w:t>ied</w:t>
      </w:r>
      <w:r w:rsidRPr="00E84181">
        <w:rPr>
          <w:rFonts w:cs="Arial"/>
          <w:szCs w:val="24"/>
        </w:rPr>
        <w:t xml:space="preserve"> forward from 2020/21 to complete 3 remaining property purchases, bring</w:t>
      </w:r>
      <w:r w:rsidR="00D22E2F">
        <w:rPr>
          <w:rFonts w:cs="Arial"/>
          <w:szCs w:val="24"/>
        </w:rPr>
        <w:t>ing the</w:t>
      </w:r>
      <w:r w:rsidRPr="00E84181">
        <w:rPr>
          <w:rFonts w:cs="Arial"/>
          <w:szCs w:val="24"/>
        </w:rPr>
        <w:t xml:space="preserve"> total programme purchases to 42. These have concluded resulting in an estimated underspend of £154k.</w:t>
      </w:r>
    </w:p>
    <w:p w14:paraId="772F7CCF" w14:textId="77777777" w:rsidR="00E84181" w:rsidRPr="00E84181" w:rsidRDefault="00E84181" w:rsidP="00E84181">
      <w:pPr>
        <w:pStyle w:val="ListParagraph"/>
        <w:rPr>
          <w:rFonts w:cs="Arial"/>
          <w:szCs w:val="24"/>
        </w:rPr>
      </w:pPr>
    </w:p>
    <w:p w14:paraId="6F38B830" w14:textId="40210677" w:rsidR="00D22E2F" w:rsidRDefault="00E84181" w:rsidP="00D22E2F">
      <w:pPr>
        <w:pStyle w:val="ListParagraph"/>
        <w:numPr>
          <w:ilvl w:val="0"/>
          <w:numId w:val="5"/>
        </w:numPr>
        <w:tabs>
          <w:tab w:val="left" w:pos="567"/>
        </w:tabs>
        <w:ind w:left="567" w:hanging="567"/>
        <w:jc w:val="both"/>
        <w:rPr>
          <w:rFonts w:cs="Arial"/>
          <w:szCs w:val="24"/>
        </w:rPr>
      </w:pPr>
      <w:r w:rsidRPr="00E84181">
        <w:rPr>
          <w:rFonts w:cs="Arial"/>
          <w:szCs w:val="24"/>
        </w:rPr>
        <w:t>Property Acquisition Programme</w:t>
      </w:r>
      <w:r w:rsidR="00D22E2F">
        <w:rPr>
          <w:rFonts w:cs="Arial"/>
          <w:szCs w:val="24"/>
        </w:rPr>
        <w:t xml:space="preserve"> 2021/22 – there is a projected</w:t>
      </w:r>
      <w:r w:rsidRPr="00E84181">
        <w:rPr>
          <w:rFonts w:cs="Arial"/>
          <w:szCs w:val="24"/>
        </w:rPr>
        <w:t xml:space="preserve"> underspend of £2</w:t>
      </w:r>
      <w:r w:rsidR="00D22E2F">
        <w:rPr>
          <w:rFonts w:cs="Arial"/>
          <w:szCs w:val="24"/>
        </w:rPr>
        <w:t>.</w:t>
      </w:r>
      <w:r w:rsidRPr="00E84181">
        <w:rPr>
          <w:rFonts w:cs="Arial"/>
          <w:szCs w:val="24"/>
        </w:rPr>
        <w:t>550m as a result of legislation changes effective from 1</w:t>
      </w:r>
      <w:r w:rsidRPr="00E84181">
        <w:rPr>
          <w:rFonts w:cs="Arial"/>
          <w:szCs w:val="24"/>
          <w:vertAlign w:val="superscript"/>
        </w:rPr>
        <w:t>st</w:t>
      </w:r>
      <w:r w:rsidRPr="00E84181">
        <w:rPr>
          <w:rFonts w:cs="Arial"/>
          <w:szCs w:val="24"/>
        </w:rPr>
        <w:t xml:space="preserve"> April 2021, which prevents the continued use of Right to Buy 1-4-1 receipts being eligible to fund this programme</w:t>
      </w:r>
      <w:bookmarkStart w:id="8" w:name="_Hlk78273292"/>
      <w:r w:rsidR="00D22E2F">
        <w:rPr>
          <w:rFonts w:cs="Arial"/>
          <w:szCs w:val="24"/>
        </w:rPr>
        <w:t>.</w:t>
      </w:r>
    </w:p>
    <w:p w14:paraId="6DFEF5C8" w14:textId="02B6AD84" w:rsidR="00D22E2F" w:rsidRPr="00D22E2F" w:rsidRDefault="00D22E2F" w:rsidP="00D22E2F">
      <w:pPr>
        <w:pStyle w:val="ListParagraph"/>
        <w:rPr>
          <w:rFonts w:cs="Arial"/>
          <w:b/>
          <w:bCs/>
          <w:szCs w:val="24"/>
        </w:rPr>
      </w:pPr>
    </w:p>
    <w:p w14:paraId="352B5674" w14:textId="2B058CC6" w:rsidR="00D22E2F" w:rsidRPr="00D22E2F" w:rsidRDefault="00D22E2F" w:rsidP="00D22E2F">
      <w:pPr>
        <w:ind w:left="567"/>
        <w:rPr>
          <w:rFonts w:cs="Arial"/>
          <w:b/>
          <w:bCs/>
          <w:szCs w:val="24"/>
        </w:rPr>
      </w:pPr>
      <w:r w:rsidRPr="00D22E2F">
        <w:rPr>
          <w:rFonts w:cs="Arial"/>
          <w:b/>
          <w:bCs/>
          <w:szCs w:val="24"/>
        </w:rPr>
        <w:t>Regeneration</w:t>
      </w:r>
    </w:p>
    <w:p w14:paraId="57AE4F4A" w14:textId="77777777" w:rsidR="00D22E2F" w:rsidRPr="00D22E2F" w:rsidRDefault="00D22E2F" w:rsidP="00D22E2F">
      <w:pPr>
        <w:pStyle w:val="ListParagraph"/>
        <w:rPr>
          <w:rFonts w:cs="Arial"/>
          <w:szCs w:val="24"/>
        </w:rPr>
      </w:pPr>
    </w:p>
    <w:p w14:paraId="78174897" w14:textId="77777777" w:rsidR="00D22E2F" w:rsidRDefault="00E84181" w:rsidP="00D22E2F">
      <w:pPr>
        <w:pStyle w:val="ListParagraph"/>
        <w:numPr>
          <w:ilvl w:val="0"/>
          <w:numId w:val="5"/>
        </w:numPr>
        <w:tabs>
          <w:tab w:val="left" w:pos="567"/>
        </w:tabs>
        <w:ind w:left="567" w:hanging="567"/>
        <w:jc w:val="both"/>
        <w:rPr>
          <w:rFonts w:cs="Arial"/>
          <w:szCs w:val="24"/>
        </w:rPr>
      </w:pPr>
      <w:r w:rsidRPr="00D22E2F">
        <w:rPr>
          <w:rFonts w:cs="Arial"/>
          <w:szCs w:val="24"/>
        </w:rPr>
        <w:t xml:space="preserve">At this stage, the service is forecasting spend to budget. There are some known risks to this position identified on </w:t>
      </w:r>
      <w:proofErr w:type="spellStart"/>
      <w:r w:rsidRPr="00D22E2F">
        <w:rPr>
          <w:rFonts w:cs="Arial"/>
          <w:szCs w:val="24"/>
        </w:rPr>
        <w:t>Waxwell</w:t>
      </w:r>
      <w:proofErr w:type="spellEnd"/>
      <w:r w:rsidRPr="00D22E2F">
        <w:rPr>
          <w:rFonts w:cs="Arial"/>
          <w:szCs w:val="24"/>
        </w:rPr>
        <w:t xml:space="preserve"> Lane (£0.220m) due to some immature Japanese Knotweed identified on site, boundary tree issues, design and drainage issues but at this stage it is thought this will be contained within existing budgets.</w:t>
      </w:r>
      <w:bookmarkEnd w:id="8"/>
      <w:r w:rsidRPr="00D22E2F">
        <w:rPr>
          <w:rFonts w:cs="Arial"/>
          <w:szCs w:val="24"/>
        </w:rPr>
        <w:t xml:space="preserve"> Practical completion is estimated to be achieved January 2022 with sales concluding early in 2022/23.</w:t>
      </w:r>
    </w:p>
    <w:p w14:paraId="7008FC37" w14:textId="23C0C0AB" w:rsidR="00D22E2F" w:rsidRPr="00D22E2F" w:rsidRDefault="00D22E2F" w:rsidP="00D22E2F">
      <w:pPr>
        <w:pStyle w:val="ListParagraph"/>
        <w:tabs>
          <w:tab w:val="left" w:pos="567"/>
        </w:tabs>
        <w:ind w:left="567"/>
        <w:jc w:val="both"/>
        <w:rPr>
          <w:rFonts w:cs="Arial"/>
          <w:b/>
          <w:bCs/>
          <w:szCs w:val="24"/>
        </w:rPr>
      </w:pPr>
    </w:p>
    <w:p w14:paraId="34AC2F2C" w14:textId="0E9FB624" w:rsidR="00D22E2F" w:rsidRPr="00D22E2F" w:rsidRDefault="00D22E2F" w:rsidP="00D22E2F">
      <w:pPr>
        <w:pStyle w:val="ListParagraph"/>
        <w:tabs>
          <w:tab w:val="left" w:pos="567"/>
        </w:tabs>
        <w:ind w:left="567"/>
        <w:jc w:val="both"/>
        <w:rPr>
          <w:rFonts w:cs="Arial"/>
          <w:b/>
          <w:bCs/>
          <w:szCs w:val="24"/>
        </w:rPr>
      </w:pPr>
      <w:r w:rsidRPr="00D22E2F">
        <w:rPr>
          <w:rFonts w:cs="Arial"/>
          <w:b/>
          <w:bCs/>
          <w:szCs w:val="24"/>
        </w:rPr>
        <w:t>PEOPLE SERVICES</w:t>
      </w:r>
    </w:p>
    <w:p w14:paraId="5CC71CC4" w14:textId="77777777" w:rsidR="00D22E2F" w:rsidRPr="003D03A5" w:rsidRDefault="00D22E2F" w:rsidP="00D22E2F">
      <w:pPr>
        <w:pStyle w:val="ListParagraph"/>
        <w:tabs>
          <w:tab w:val="left" w:pos="567"/>
        </w:tabs>
        <w:ind w:left="567"/>
        <w:jc w:val="both"/>
        <w:rPr>
          <w:rFonts w:cs="Arial"/>
          <w:szCs w:val="24"/>
        </w:rPr>
      </w:pPr>
    </w:p>
    <w:p w14:paraId="7836667F" w14:textId="1BEE71DE" w:rsidR="00D22E2F" w:rsidRPr="003D03A5" w:rsidRDefault="008470E0" w:rsidP="00D22E2F">
      <w:pPr>
        <w:pStyle w:val="ListParagraph"/>
        <w:numPr>
          <w:ilvl w:val="0"/>
          <w:numId w:val="5"/>
        </w:numPr>
        <w:tabs>
          <w:tab w:val="left" w:pos="567"/>
        </w:tabs>
        <w:ind w:left="567" w:hanging="567"/>
        <w:jc w:val="both"/>
        <w:rPr>
          <w:rFonts w:cs="Arial"/>
          <w:szCs w:val="24"/>
        </w:rPr>
      </w:pPr>
      <w:r w:rsidRPr="003D03A5">
        <w:rPr>
          <w:rFonts w:cs="Arial"/>
          <w:bCs/>
          <w:szCs w:val="24"/>
        </w:rPr>
        <w:t>The total People Services capital budget in 2021/22 is £28.886m. As at Q</w:t>
      </w:r>
      <w:r w:rsidR="008F4392">
        <w:rPr>
          <w:rFonts w:cs="Arial"/>
          <w:bCs/>
          <w:szCs w:val="24"/>
        </w:rPr>
        <w:t>2</w:t>
      </w:r>
      <w:r w:rsidRPr="003D03A5">
        <w:rPr>
          <w:rFonts w:cs="Arial"/>
          <w:bCs/>
          <w:szCs w:val="24"/>
        </w:rPr>
        <w:t xml:space="preserve"> the projected spend is £11.</w:t>
      </w:r>
      <w:r w:rsidR="003D03A5" w:rsidRPr="003D03A5">
        <w:rPr>
          <w:rFonts w:cs="Arial"/>
          <w:bCs/>
          <w:szCs w:val="24"/>
        </w:rPr>
        <w:t>528</w:t>
      </w:r>
      <w:r w:rsidRPr="003D03A5">
        <w:rPr>
          <w:rFonts w:cs="Arial"/>
          <w:bCs/>
          <w:szCs w:val="24"/>
        </w:rPr>
        <w:t>m which represents 40% of the total budget. Further details are set out at the following paragraphs.</w:t>
      </w:r>
    </w:p>
    <w:p w14:paraId="5A2DB92A" w14:textId="272570F4" w:rsidR="00D22E2F" w:rsidRDefault="00D22E2F" w:rsidP="00D22E2F">
      <w:pPr>
        <w:pStyle w:val="ListParagraph"/>
        <w:tabs>
          <w:tab w:val="left" w:pos="567"/>
        </w:tabs>
        <w:ind w:left="567"/>
        <w:jc w:val="both"/>
        <w:rPr>
          <w:rFonts w:cs="Arial"/>
          <w:szCs w:val="24"/>
        </w:rPr>
      </w:pPr>
    </w:p>
    <w:p w14:paraId="348BC7E2" w14:textId="71800509" w:rsidR="00D22E2F" w:rsidRPr="00D22E2F" w:rsidRDefault="00D22E2F" w:rsidP="00D22E2F">
      <w:pPr>
        <w:pStyle w:val="ListParagraph"/>
        <w:tabs>
          <w:tab w:val="left" w:pos="567"/>
        </w:tabs>
        <w:ind w:left="567"/>
        <w:jc w:val="both"/>
        <w:rPr>
          <w:rFonts w:cs="Arial"/>
          <w:b/>
          <w:bCs/>
          <w:szCs w:val="24"/>
        </w:rPr>
      </w:pPr>
    </w:p>
    <w:p w14:paraId="574E259A" w14:textId="228BB03F" w:rsidR="00D22E2F" w:rsidRPr="00D22E2F" w:rsidRDefault="00D22E2F" w:rsidP="00D22E2F">
      <w:pPr>
        <w:pStyle w:val="ListParagraph"/>
        <w:tabs>
          <w:tab w:val="left" w:pos="567"/>
        </w:tabs>
        <w:ind w:left="567"/>
        <w:jc w:val="both"/>
        <w:rPr>
          <w:rFonts w:cs="Arial"/>
          <w:b/>
          <w:bCs/>
          <w:szCs w:val="24"/>
        </w:rPr>
      </w:pPr>
      <w:r w:rsidRPr="00D22E2F">
        <w:rPr>
          <w:rFonts w:cs="Arial"/>
          <w:b/>
          <w:bCs/>
          <w:szCs w:val="24"/>
        </w:rPr>
        <w:t>Adult Services</w:t>
      </w:r>
    </w:p>
    <w:p w14:paraId="551711D6" w14:textId="63D8C355" w:rsidR="00D22E2F" w:rsidRPr="00705B4A" w:rsidRDefault="008470E0" w:rsidP="00D22E2F">
      <w:pPr>
        <w:pStyle w:val="ListParagraph"/>
        <w:numPr>
          <w:ilvl w:val="0"/>
          <w:numId w:val="5"/>
        </w:numPr>
        <w:tabs>
          <w:tab w:val="left" w:pos="567"/>
        </w:tabs>
        <w:ind w:left="567" w:hanging="567"/>
        <w:jc w:val="both"/>
        <w:rPr>
          <w:rFonts w:cs="Arial"/>
          <w:szCs w:val="24"/>
        </w:rPr>
      </w:pPr>
      <w:r w:rsidRPr="00705B4A">
        <w:rPr>
          <w:rFonts w:cs="Arial"/>
          <w:bCs/>
          <w:szCs w:val="24"/>
        </w:rPr>
        <w:t>The Adult Services capital budget in 2021/22 is</w:t>
      </w:r>
      <w:r w:rsidRPr="00705B4A">
        <w:rPr>
          <w:rFonts w:cs="Arial"/>
          <w:bCs/>
        </w:rPr>
        <w:t xml:space="preserve"> £411k. As at Q</w:t>
      </w:r>
      <w:r w:rsidR="00705B4A" w:rsidRPr="00705B4A">
        <w:rPr>
          <w:rFonts w:cs="Arial"/>
          <w:bCs/>
        </w:rPr>
        <w:t>2</w:t>
      </w:r>
      <w:r w:rsidRPr="00705B4A">
        <w:rPr>
          <w:rFonts w:cs="Arial"/>
          <w:bCs/>
        </w:rPr>
        <w:t xml:space="preserve"> this is forecast to spend to budget. </w:t>
      </w:r>
    </w:p>
    <w:p w14:paraId="2BD7741A" w14:textId="038DE0BE" w:rsidR="00D22E2F" w:rsidRPr="00705B4A" w:rsidRDefault="00D22E2F" w:rsidP="00D22E2F">
      <w:pPr>
        <w:pStyle w:val="ListParagraph"/>
        <w:tabs>
          <w:tab w:val="left" w:pos="567"/>
        </w:tabs>
        <w:ind w:left="567"/>
        <w:jc w:val="both"/>
        <w:rPr>
          <w:rFonts w:cs="Arial"/>
          <w:b/>
          <w:bCs/>
          <w:szCs w:val="24"/>
        </w:rPr>
      </w:pPr>
    </w:p>
    <w:p w14:paraId="74F37D96" w14:textId="06347DFB" w:rsidR="00D22E2F" w:rsidRPr="00705B4A" w:rsidRDefault="00D22E2F" w:rsidP="00D22E2F">
      <w:pPr>
        <w:pStyle w:val="ListParagraph"/>
        <w:tabs>
          <w:tab w:val="left" w:pos="567"/>
        </w:tabs>
        <w:ind w:left="567"/>
        <w:jc w:val="both"/>
        <w:rPr>
          <w:rFonts w:cs="Arial"/>
          <w:b/>
          <w:bCs/>
          <w:szCs w:val="24"/>
        </w:rPr>
      </w:pPr>
      <w:r w:rsidRPr="00705B4A">
        <w:rPr>
          <w:rFonts w:cs="Arial"/>
          <w:b/>
          <w:bCs/>
          <w:szCs w:val="24"/>
        </w:rPr>
        <w:lastRenderedPageBreak/>
        <w:t>Public Health</w:t>
      </w:r>
    </w:p>
    <w:p w14:paraId="128C0D36" w14:textId="77777777" w:rsidR="00D22E2F" w:rsidRPr="00705B4A" w:rsidRDefault="00D22E2F" w:rsidP="00D22E2F">
      <w:pPr>
        <w:pStyle w:val="ListParagraph"/>
        <w:tabs>
          <w:tab w:val="left" w:pos="567"/>
        </w:tabs>
        <w:ind w:left="567"/>
        <w:jc w:val="both"/>
        <w:rPr>
          <w:rFonts w:cs="Arial"/>
          <w:szCs w:val="24"/>
        </w:rPr>
      </w:pPr>
    </w:p>
    <w:p w14:paraId="64C6F97B" w14:textId="2EB12609" w:rsidR="00D22E2F" w:rsidRPr="00705B4A" w:rsidRDefault="008470E0" w:rsidP="00D22E2F">
      <w:pPr>
        <w:pStyle w:val="ListParagraph"/>
        <w:numPr>
          <w:ilvl w:val="0"/>
          <w:numId w:val="5"/>
        </w:numPr>
        <w:tabs>
          <w:tab w:val="left" w:pos="567"/>
        </w:tabs>
        <w:ind w:left="567" w:hanging="567"/>
        <w:jc w:val="both"/>
        <w:rPr>
          <w:rFonts w:cs="Arial"/>
          <w:szCs w:val="24"/>
        </w:rPr>
      </w:pPr>
      <w:r w:rsidRPr="00705B4A">
        <w:rPr>
          <w:rFonts w:cs="Arial"/>
          <w:bCs/>
        </w:rPr>
        <w:t>The Public Health capital budget in 2021/22 is £9k. As at Q</w:t>
      </w:r>
      <w:r w:rsidR="00705B4A" w:rsidRPr="00705B4A">
        <w:rPr>
          <w:rFonts w:cs="Arial"/>
          <w:bCs/>
        </w:rPr>
        <w:t>2</w:t>
      </w:r>
      <w:r w:rsidRPr="00705B4A">
        <w:rPr>
          <w:rFonts w:cs="Arial"/>
          <w:bCs/>
        </w:rPr>
        <w:t xml:space="preserve"> this is forecast to spend to budget</w:t>
      </w:r>
    </w:p>
    <w:p w14:paraId="6C753336" w14:textId="673AA03E" w:rsidR="00D22E2F" w:rsidRPr="00D22E2F" w:rsidRDefault="00D22E2F" w:rsidP="00D22E2F">
      <w:pPr>
        <w:pStyle w:val="ListParagraph"/>
        <w:tabs>
          <w:tab w:val="left" w:pos="567"/>
        </w:tabs>
        <w:ind w:left="567"/>
        <w:jc w:val="both"/>
        <w:rPr>
          <w:rFonts w:cs="Arial"/>
          <w:b/>
          <w:bCs/>
          <w:szCs w:val="24"/>
        </w:rPr>
      </w:pPr>
    </w:p>
    <w:p w14:paraId="4F224DA7" w14:textId="43564307" w:rsidR="00D22E2F" w:rsidRPr="00D22E2F" w:rsidRDefault="00D22E2F" w:rsidP="00D22E2F">
      <w:pPr>
        <w:pStyle w:val="ListParagraph"/>
        <w:tabs>
          <w:tab w:val="left" w:pos="567"/>
        </w:tabs>
        <w:ind w:left="567"/>
        <w:jc w:val="both"/>
        <w:rPr>
          <w:rFonts w:cs="Arial"/>
          <w:b/>
          <w:bCs/>
          <w:szCs w:val="24"/>
        </w:rPr>
      </w:pPr>
      <w:r w:rsidRPr="00D22E2F">
        <w:rPr>
          <w:rFonts w:cs="Arial"/>
          <w:b/>
          <w:bCs/>
          <w:szCs w:val="24"/>
        </w:rPr>
        <w:t>Children’s Services</w:t>
      </w:r>
    </w:p>
    <w:p w14:paraId="00B32D57" w14:textId="77777777" w:rsidR="00D22E2F" w:rsidRPr="00705B4A" w:rsidRDefault="00D22E2F" w:rsidP="00D22E2F">
      <w:pPr>
        <w:pStyle w:val="ListParagraph"/>
        <w:tabs>
          <w:tab w:val="left" w:pos="567"/>
        </w:tabs>
        <w:ind w:left="567"/>
        <w:jc w:val="both"/>
        <w:rPr>
          <w:rFonts w:cs="Arial"/>
          <w:szCs w:val="24"/>
        </w:rPr>
      </w:pPr>
    </w:p>
    <w:p w14:paraId="7749AABD" w14:textId="2B58CF79" w:rsidR="00D22E2F" w:rsidRPr="00705B4A" w:rsidRDefault="008470E0" w:rsidP="00D22E2F">
      <w:pPr>
        <w:pStyle w:val="ListParagraph"/>
        <w:numPr>
          <w:ilvl w:val="0"/>
          <w:numId w:val="5"/>
        </w:numPr>
        <w:tabs>
          <w:tab w:val="left" w:pos="567"/>
        </w:tabs>
        <w:ind w:left="567" w:hanging="567"/>
        <w:jc w:val="both"/>
        <w:rPr>
          <w:rFonts w:cs="Arial"/>
          <w:szCs w:val="24"/>
        </w:rPr>
      </w:pPr>
      <w:r w:rsidRPr="00705B4A">
        <w:rPr>
          <w:rFonts w:cs="Arial"/>
        </w:rPr>
        <w:t>Children’s Services capital budget in 2021/22 is £28.466m. It is proposed to slip the majority of this funding totalling £17.</w:t>
      </w:r>
      <w:r w:rsidR="00705B4A" w:rsidRPr="00705B4A">
        <w:rPr>
          <w:rFonts w:cs="Arial"/>
        </w:rPr>
        <w:t>118</w:t>
      </w:r>
      <w:r w:rsidRPr="00705B4A">
        <w:rPr>
          <w:rFonts w:cs="Arial"/>
        </w:rPr>
        <w:t xml:space="preserve">m to future years. The majority of the slippage relates to external grant funding allocated for basic need school places. However, at present the school roll projections do not indicate that there is a need for permanent expansion at this time. </w:t>
      </w:r>
    </w:p>
    <w:p w14:paraId="7E41E22E" w14:textId="77777777" w:rsidR="00D22E2F" w:rsidRPr="00705B4A" w:rsidRDefault="00D22E2F" w:rsidP="00D22E2F">
      <w:pPr>
        <w:pStyle w:val="ListParagraph"/>
        <w:tabs>
          <w:tab w:val="left" w:pos="567"/>
        </w:tabs>
        <w:ind w:left="567"/>
        <w:jc w:val="both"/>
        <w:rPr>
          <w:rFonts w:cs="Arial"/>
          <w:szCs w:val="24"/>
        </w:rPr>
      </w:pPr>
    </w:p>
    <w:p w14:paraId="2DC1C7D7" w14:textId="77777777" w:rsidR="00D22E2F" w:rsidRPr="00705B4A" w:rsidRDefault="008470E0" w:rsidP="00D22E2F">
      <w:pPr>
        <w:pStyle w:val="ListParagraph"/>
        <w:numPr>
          <w:ilvl w:val="0"/>
          <w:numId w:val="5"/>
        </w:numPr>
        <w:tabs>
          <w:tab w:val="left" w:pos="567"/>
        </w:tabs>
        <w:ind w:left="567" w:hanging="567"/>
        <w:jc w:val="both"/>
        <w:rPr>
          <w:rFonts w:cs="Arial"/>
          <w:szCs w:val="24"/>
        </w:rPr>
      </w:pPr>
      <w:r w:rsidRPr="00705B4A">
        <w:rPr>
          <w:rFonts w:cs="Arial"/>
        </w:rPr>
        <w:t>There are no revenue implications as a result of this slippage</w:t>
      </w:r>
    </w:p>
    <w:p w14:paraId="7E1C3DEC" w14:textId="77777777" w:rsidR="00D22E2F" w:rsidRPr="00D22E2F" w:rsidRDefault="00D22E2F" w:rsidP="00D22E2F">
      <w:pPr>
        <w:pStyle w:val="ListParagraph"/>
        <w:rPr>
          <w:rFonts w:cs="Arial"/>
          <w:b/>
          <w:bCs/>
          <w:color w:val="FF0000"/>
          <w:szCs w:val="24"/>
        </w:rPr>
      </w:pPr>
    </w:p>
    <w:p w14:paraId="4A98D52B" w14:textId="18345310" w:rsidR="00D22E2F" w:rsidRPr="00D22E2F" w:rsidRDefault="00D22E2F" w:rsidP="00D22E2F">
      <w:pPr>
        <w:pStyle w:val="ListParagraph"/>
        <w:tabs>
          <w:tab w:val="left" w:pos="567"/>
        </w:tabs>
        <w:ind w:left="567"/>
        <w:jc w:val="both"/>
        <w:rPr>
          <w:rFonts w:cs="Arial"/>
          <w:b/>
          <w:bCs/>
          <w:szCs w:val="24"/>
        </w:rPr>
      </w:pPr>
      <w:r w:rsidRPr="00D22E2F">
        <w:rPr>
          <w:rFonts w:cs="Arial"/>
          <w:b/>
          <w:bCs/>
          <w:szCs w:val="24"/>
        </w:rPr>
        <w:t>HOUSING REVENUE ACCOUNT</w:t>
      </w:r>
    </w:p>
    <w:p w14:paraId="6436A830" w14:textId="77777777" w:rsidR="00D22E2F" w:rsidRPr="00D22E2F" w:rsidRDefault="00D22E2F" w:rsidP="00D22E2F">
      <w:pPr>
        <w:pStyle w:val="ListParagraph"/>
        <w:rPr>
          <w:rFonts w:cs="Arial"/>
          <w:bCs/>
          <w:color w:val="FF0000"/>
          <w:szCs w:val="24"/>
        </w:rPr>
      </w:pPr>
    </w:p>
    <w:p w14:paraId="10AB9B9A" w14:textId="4D8B6BD4" w:rsidR="008470E0" w:rsidRPr="003774CC" w:rsidRDefault="00D22E2F" w:rsidP="00D22E2F">
      <w:pPr>
        <w:pStyle w:val="ListParagraph"/>
        <w:numPr>
          <w:ilvl w:val="0"/>
          <w:numId w:val="5"/>
        </w:numPr>
        <w:tabs>
          <w:tab w:val="left" w:pos="567"/>
        </w:tabs>
        <w:ind w:left="567" w:hanging="567"/>
        <w:jc w:val="both"/>
        <w:rPr>
          <w:rFonts w:cs="Arial"/>
          <w:szCs w:val="24"/>
        </w:rPr>
      </w:pPr>
      <w:r w:rsidRPr="003774CC">
        <w:rPr>
          <w:rFonts w:cs="Arial"/>
          <w:bCs/>
          <w:szCs w:val="24"/>
        </w:rPr>
        <w:t>The service forecasts to spend £102.644m and slip budget of £2.30m to 2022/23. There is also an underspend of £750k. Projects with a budget variance are summarised below.</w:t>
      </w:r>
    </w:p>
    <w:p w14:paraId="10A09715" w14:textId="77777777" w:rsidR="003774CC" w:rsidRPr="003774CC" w:rsidRDefault="003774CC" w:rsidP="003774CC">
      <w:pPr>
        <w:pStyle w:val="ListParagraph"/>
        <w:tabs>
          <w:tab w:val="left" w:pos="567"/>
        </w:tabs>
        <w:ind w:left="567"/>
        <w:jc w:val="both"/>
        <w:rPr>
          <w:rFonts w:cs="Arial"/>
          <w:szCs w:val="24"/>
        </w:rPr>
      </w:pPr>
    </w:p>
    <w:p w14:paraId="78B486C5" w14:textId="7BD0C4CF" w:rsidR="00D22E2F" w:rsidRPr="003774CC" w:rsidRDefault="00D22E2F" w:rsidP="00D22E2F">
      <w:pPr>
        <w:pStyle w:val="ListParagraph"/>
        <w:numPr>
          <w:ilvl w:val="0"/>
          <w:numId w:val="5"/>
        </w:numPr>
        <w:tabs>
          <w:tab w:val="left" w:pos="567"/>
        </w:tabs>
        <w:ind w:left="567" w:hanging="567"/>
        <w:jc w:val="both"/>
        <w:rPr>
          <w:rFonts w:cs="Arial"/>
          <w:szCs w:val="24"/>
        </w:rPr>
      </w:pPr>
      <w:r w:rsidRPr="003774CC">
        <w:rPr>
          <w:rFonts w:cs="Arial"/>
          <w:bCs/>
          <w:szCs w:val="24"/>
        </w:rPr>
        <w:t xml:space="preserve">Planned Investment – following the tender of </w:t>
      </w:r>
      <w:proofErr w:type="spellStart"/>
      <w:r w:rsidRPr="003774CC">
        <w:rPr>
          <w:rFonts w:cs="Arial"/>
          <w:bCs/>
          <w:szCs w:val="24"/>
        </w:rPr>
        <w:t>Meadfield</w:t>
      </w:r>
      <w:proofErr w:type="spellEnd"/>
      <w:r w:rsidRPr="003774CC">
        <w:rPr>
          <w:rFonts w:cs="Arial"/>
          <w:bCs/>
          <w:szCs w:val="24"/>
        </w:rPr>
        <w:t xml:space="preserve"> &amp; Cornell scheme, the budget has been reprofiled to reflect project delivery resulting in slippage of £900k to 2022/23</w:t>
      </w:r>
      <w:r w:rsidR="003774CC">
        <w:rPr>
          <w:rFonts w:cs="Arial"/>
          <w:bCs/>
          <w:szCs w:val="24"/>
        </w:rPr>
        <w:t>.</w:t>
      </w:r>
    </w:p>
    <w:p w14:paraId="5C1FA329" w14:textId="77777777" w:rsidR="003774CC" w:rsidRPr="003774CC" w:rsidRDefault="003774CC" w:rsidP="003774CC">
      <w:pPr>
        <w:pStyle w:val="ListParagraph"/>
        <w:tabs>
          <w:tab w:val="left" w:pos="567"/>
        </w:tabs>
        <w:ind w:left="567"/>
        <w:jc w:val="both"/>
        <w:rPr>
          <w:rFonts w:cs="Arial"/>
          <w:szCs w:val="24"/>
        </w:rPr>
      </w:pPr>
    </w:p>
    <w:p w14:paraId="48723044" w14:textId="51BCEB32" w:rsidR="003774CC" w:rsidRPr="00745CE0" w:rsidRDefault="00D22E2F" w:rsidP="00745CE0">
      <w:pPr>
        <w:pStyle w:val="ListParagraph"/>
        <w:numPr>
          <w:ilvl w:val="0"/>
          <w:numId w:val="5"/>
        </w:numPr>
        <w:tabs>
          <w:tab w:val="left" w:pos="567"/>
        </w:tabs>
        <w:ind w:left="567" w:hanging="567"/>
        <w:jc w:val="both"/>
        <w:rPr>
          <w:rFonts w:cs="Arial"/>
          <w:szCs w:val="24"/>
        </w:rPr>
      </w:pPr>
      <w:r w:rsidRPr="00745CE0">
        <w:rPr>
          <w:rFonts w:cs="Arial"/>
          <w:bCs/>
          <w:szCs w:val="24"/>
        </w:rPr>
        <w:t xml:space="preserve">Health &amp; Safety 3 Programme – </w:t>
      </w:r>
      <w:r w:rsidR="00745CE0" w:rsidRPr="00745CE0">
        <w:rPr>
          <w:rFonts w:cs="Arial"/>
          <w:bCs/>
          <w:szCs w:val="24"/>
        </w:rPr>
        <w:t xml:space="preserve">In October 2021 Cabinet approved an additional £1.6 of HRA capital resources, above that which had already been approved in the programme of £2.4m, resulting in a total revised allocation of £4m. The additional £1.6m expenditure is as a result of additions to the level of works required can be contained within the current HRA Planned Investment Capital Budget for 2022-23 of £5.895m with no impact on the General Fund and no requirement for additional borrowing. This is estimated to be a </w:t>
      </w:r>
      <w:proofErr w:type="gramStart"/>
      <w:r w:rsidR="00745CE0" w:rsidRPr="00745CE0">
        <w:rPr>
          <w:rFonts w:cs="Arial"/>
          <w:bCs/>
          <w:szCs w:val="24"/>
        </w:rPr>
        <w:t>66 week</w:t>
      </w:r>
      <w:proofErr w:type="gramEnd"/>
      <w:r w:rsidR="00745CE0" w:rsidRPr="00745CE0">
        <w:rPr>
          <w:rFonts w:cs="Arial"/>
          <w:bCs/>
          <w:szCs w:val="24"/>
        </w:rPr>
        <w:t xml:space="preserve"> programme of works spanning this year and 2022-23 and the budget has been reprofiled to reflect this resulting in slippage of £1.4m into 2022-23.</w:t>
      </w:r>
    </w:p>
    <w:p w14:paraId="5553AC12" w14:textId="77777777" w:rsidR="00745CE0" w:rsidRPr="00745CE0" w:rsidRDefault="00745CE0" w:rsidP="00745CE0">
      <w:pPr>
        <w:tabs>
          <w:tab w:val="left" w:pos="567"/>
        </w:tabs>
        <w:jc w:val="both"/>
        <w:rPr>
          <w:rFonts w:cs="Arial"/>
          <w:szCs w:val="24"/>
        </w:rPr>
      </w:pPr>
    </w:p>
    <w:p w14:paraId="374A8CF6" w14:textId="77777777" w:rsidR="004F521B" w:rsidRPr="004F521B" w:rsidRDefault="00D22E2F" w:rsidP="004F521B">
      <w:pPr>
        <w:pStyle w:val="ListParagraph"/>
        <w:numPr>
          <w:ilvl w:val="0"/>
          <w:numId w:val="5"/>
        </w:numPr>
        <w:tabs>
          <w:tab w:val="left" w:pos="567"/>
        </w:tabs>
        <w:ind w:left="567" w:hanging="567"/>
        <w:jc w:val="both"/>
        <w:rPr>
          <w:rFonts w:cs="Arial"/>
          <w:szCs w:val="24"/>
        </w:rPr>
      </w:pPr>
      <w:r w:rsidRPr="003774CC">
        <w:rPr>
          <w:rFonts w:cs="Arial"/>
        </w:rPr>
        <w:t xml:space="preserve">There is a budget of £1.0m within the planned investment programme set aside to be </w:t>
      </w:r>
      <w:r w:rsidRPr="003774CC">
        <w:rPr>
          <w:lang w:val="en"/>
        </w:rPr>
        <w:t>used as match funding towards meeting  Governments’  Green initiatives  targets and the service anticipates that the full budget will not be required this year resulting in an underspend of £0.750m.</w:t>
      </w:r>
      <w:r w:rsidR="003774CC">
        <w:rPr>
          <w:lang w:val="en"/>
        </w:rPr>
        <w:t xml:space="preserve"> </w:t>
      </w:r>
      <w:r w:rsidRPr="003774CC">
        <w:rPr>
          <w:lang w:val="en"/>
        </w:rPr>
        <w:t xml:space="preserve">This resource will go back into the HRA capital </w:t>
      </w:r>
      <w:proofErr w:type="spellStart"/>
      <w:r w:rsidRPr="003774CC">
        <w:rPr>
          <w:lang w:val="en"/>
        </w:rPr>
        <w:t>programme</w:t>
      </w:r>
      <w:proofErr w:type="spellEnd"/>
      <w:r w:rsidRPr="003774CC">
        <w:rPr>
          <w:lang w:val="en"/>
        </w:rPr>
        <w:t xml:space="preserve"> and be reallocated.</w:t>
      </w:r>
    </w:p>
    <w:p w14:paraId="420E97ED" w14:textId="77777777" w:rsidR="004F521B" w:rsidRPr="004F521B" w:rsidRDefault="004F521B" w:rsidP="004F521B">
      <w:pPr>
        <w:pStyle w:val="ListParagraph"/>
        <w:rPr>
          <w:rFonts w:cs="Arial"/>
          <w:bCs/>
          <w:szCs w:val="24"/>
        </w:rPr>
      </w:pPr>
    </w:p>
    <w:p w14:paraId="5B73AEBC" w14:textId="661B103B" w:rsidR="00AF13E3" w:rsidRPr="004F521B" w:rsidRDefault="008470E0" w:rsidP="004F521B">
      <w:pPr>
        <w:pStyle w:val="ListParagraph"/>
        <w:numPr>
          <w:ilvl w:val="0"/>
          <w:numId w:val="5"/>
        </w:numPr>
        <w:tabs>
          <w:tab w:val="left" w:pos="567"/>
        </w:tabs>
        <w:ind w:left="567" w:hanging="567"/>
        <w:jc w:val="both"/>
        <w:rPr>
          <w:rFonts w:cs="Arial"/>
          <w:szCs w:val="24"/>
        </w:rPr>
      </w:pPr>
      <w:r w:rsidRPr="004F521B">
        <w:rPr>
          <w:rFonts w:cs="Arial"/>
          <w:bCs/>
          <w:szCs w:val="24"/>
        </w:rPr>
        <w:t>The following additions required to the Capital Programme are all funded by grant</w:t>
      </w:r>
      <w:r w:rsidR="001A2B6C" w:rsidRPr="004F521B">
        <w:rPr>
          <w:rFonts w:cs="Arial"/>
          <w:bCs/>
          <w:szCs w:val="24"/>
        </w:rPr>
        <w:t xml:space="preserve"> </w:t>
      </w:r>
      <w:r w:rsidRPr="004F521B">
        <w:rPr>
          <w:rFonts w:cs="Arial"/>
          <w:bCs/>
          <w:szCs w:val="24"/>
        </w:rPr>
        <w:t>and therefore no additional capital financing costs will be incurred within the Council’s general fund.</w:t>
      </w:r>
    </w:p>
    <w:p w14:paraId="65698EDB" w14:textId="77777777" w:rsidR="00AF13E3" w:rsidRPr="00AF13E3" w:rsidRDefault="00AF13E3" w:rsidP="004F521B">
      <w:pPr>
        <w:pStyle w:val="ListParagraph"/>
        <w:rPr>
          <w:rFonts w:cs="Arial"/>
          <w:szCs w:val="24"/>
        </w:rPr>
      </w:pPr>
    </w:p>
    <w:p w14:paraId="0A7C80E5" w14:textId="4E01C7B7" w:rsidR="00AF13E3" w:rsidRDefault="00AF13E3" w:rsidP="004F521B">
      <w:pPr>
        <w:pStyle w:val="ListParagraph"/>
        <w:tabs>
          <w:tab w:val="left" w:pos="567"/>
        </w:tabs>
        <w:ind w:left="567"/>
        <w:jc w:val="both"/>
        <w:rPr>
          <w:rFonts w:cs="Arial"/>
          <w:szCs w:val="24"/>
        </w:rPr>
      </w:pPr>
    </w:p>
    <w:p w14:paraId="35579212" w14:textId="7B8B872A" w:rsidR="00D130AA" w:rsidRDefault="00D130AA" w:rsidP="004F521B">
      <w:pPr>
        <w:pStyle w:val="ListParagraph"/>
        <w:tabs>
          <w:tab w:val="left" w:pos="567"/>
        </w:tabs>
        <w:ind w:left="567"/>
        <w:jc w:val="both"/>
        <w:rPr>
          <w:rFonts w:cs="Arial"/>
          <w:szCs w:val="24"/>
        </w:rPr>
      </w:pPr>
    </w:p>
    <w:p w14:paraId="32CD532A" w14:textId="09FC444F" w:rsidR="00D130AA" w:rsidRDefault="00D130AA" w:rsidP="004F521B">
      <w:pPr>
        <w:pStyle w:val="ListParagraph"/>
        <w:tabs>
          <w:tab w:val="left" w:pos="567"/>
        </w:tabs>
        <w:ind w:left="567"/>
        <w:jc w:val="both"/>
        <w:rPr>
          <w:rFonts w:cs="Arial"/>
          <w:szCs w:val="24"/>
        </w:rPr>
      </w:pPr>
    </w:p>
    <w:p w14:paraId="2DD53A35" w14:textId="6826BCDF" w:rsidR="00D130AA" w:rsidRDefault="00D130AA" w:rsidP="004F521B">
      <w:pPr>
        <w:pStyle w:val="ListParagraph"/>
        <w:tabs>
          <w:tab w:val="left" w:pos="567"/>
        </w:tabs>
        <w:ind w:left="567"/>
        <w:jc w:val="both"/>
        <w:rPr>
          <w:rFonts w:cs="Arial"/>
          <w:szCs w:val="24"/>
        </w:rPr>
      </w:pPr>
    </w:p>
    <w:p w14:paraId="3128AB00" w14:textId="0034FFBD" w:rsidR="00D130AA" w:rsidRDefault="00D130AA" w:rsidP="004F521B">
      <w:pPr>
        <w:pStyle w:val="ListParagraph"/>
        <w:tabs>
          <w:tab w:val="left" w:pos="567"/>
        </w:tabs>
        <w:ind w:left="567"/>
        <w:jc w:val="both"/>
        <w:rPr>
          <w:rFonts w:cs="Arial"/>
          <w:szCs w:val="24"/>
        </w:rPr>
      </w:pPr>
    </w:p>
    <w:p w14:paraId="0C4395E2" w14:textId="77777777" w:rsidR="00D130AA" w:rsidRPr="00AF13E3" w:rsidRDefault="00D130AA" w:rsidP="004F521B">
      <w:pPr>
        <w:pStyle w:val="ListParagraph"/>
        <w:tabs>
          <w:tab w:val="left" w:pos="567"/>
        </w:tabs>
        <w:ind w:left="567"/>
        <w:jc w:val="both"/>
        <w:rPr>
          <w:rFonts w:cs="Arial"/>
          <w:szCs w:val="24"/>
        </w:rPr>
      </w:pPr>
    </w:p>
    <w:p w14:paraId="24C80BDA" w14:textId="77777777" w:rsidR="00AF13E3" w:rsidRPr="004F521B" w:rsidRDefault="00AF13E3" w:rsidP="004F521B">
      <w:pPr>
        <w:jc w:val="both"/>
        <w:rPr>
          <w:b/>
          <w:bCs/>
          <w:szCs w:val="24"/>
        </w:rPr>
      </w:pPr>
      <w:r w:rsidRPr="004F521B">
        <w:rPr>
          <w:b/>
          <w:bCs/>
          <w:szCs w:val="24"/>
        </w:rPr>
        <w:lastRenderedPageBreak/>
        <w:t>AMENDMENTS TO THE CAPITAL PROGRAMME 2021/22</w:t>
      </w:r>
    </w:p>
    <w:p w14:paraId="4795C02A" w14:textId="7B55AEEF" w:rsidR="00AF13E3" w:rsidRDefault="00AF13E3" w:rsidP="00AF13E3">
      <w:pPr>
        <w:rPr>
          <w:rFonts w:cs="Arial"/>
          <w:szCs w:val="24"/>
        </w:rPr>
      </w:pPr>
    </w:p>
    <w:p w14:paraId="0C94E805" w14:textId="154AA699" w:rsidR="00AF13E3" w:rsidRPr="004F521B" w:rsidRDefault="00AF13E3" w:rsidP="003774CC">
      <w:pPr>
        <w:pStyle w:val="ListParagraph"/>
        <w:numPr>
          <w:ilvl w:val="0"/>
          <w:numId w:val="5"/>
        </w:numPr>
        <w:tabs>
          <w:tab w:val="left" w:pos="567"/>
        </w:tabs>
        <w:ind w:left="567" w:hanging="567"/>
        <w:jc w:val="both"/>
        <w:rPr>
          <w:rFonts w:cs="Arial"/>
          <w:szCs w:val="24"/>
        </w:rPr>
      </w:pPr>
      <w:r>
        <w:rPr>
          <w:b/>
          <w:bCs/>
          <w:szCs w:val="24"/>
        </w:rPr>
        <w:t>ICT Dynamics – Further £500,000 draw down from budget</w:t>
      </w:r>
    </w:p>
    <w:p w14:paraId="6BE5F606" w14:textId="77777777" w:rsidR="00AF13E3" w:rsidRPr="004F521B" w:rsidRDefault="00AF13E3" w:rsidP="004F521B">
      <w:pPr>
        <w:pStyle w:val="ListParagraph"/>
        <w:tabs>
          <w:tab w:val="left" w:pos="567"/>
        </w:tabs>
        <w:ind w:left="567"/>
        <w:jc w:val="both"/>
        <w:rPr>
          <w:rFonts w:cs="Arial"/>
          <w:szCs w:val="24"/>
        </w:rPr>
      </w:pPr>
    </w:p>
    <w:p w14:paraId="3650C90C" w14:textId="1DECFB9A" w:rsidR="00AF13E3" w:rsidRDefault="00AF13E3" w:rsidP="00AF13E3">
      <w:pPr>
        <w:pStyle w:val="ListParagraph"/>
        <w:numPr>
          <w:ilvl w:val="0"/>
          <w:numId w:val="5"/>
        </w:numPr>
        <w:tabs>
          <w:tab w:val="left" w:pos="567"/>
        </w:tabs>
        <w:ind w:left="567" w:hanging="567"/>
        <w:jc w:val="both"/>
        <w:rPr>
          <w:rFonts w:cs="Arial"/>
          <w:szCs w:val="24"/>
        </w:rPr>
      </w:pPr>
      <w:r>
        <w:rPr>
          <w:rFonts w:cs="Arial"/>
          <w:szCs w:val="24"/>
        </w:rPr>
        <w:t xml:space="preserve">The </w:t>
      </w:r>
      <w:r w:rsidRPr="00AF13E3">
        <w:rPr>
          <w:rFonts w:cs="Arial"/>
          <w:szCs w:val="24"/>
        </w:rPr>
        <w:t>current capital programme includes provision for the new Dynamics ERP system.  The Finance part of the project went live on 4</w:t>
      </w:r>
      <w:r w:rsidRPr="00AF13E3">
        <w:rPr>
          <w:rFonts w:cs="Arial"/>
          <w:szCs w:val="24"/>
          <w:vertAlign w:val="superscript"/>
        </w:rPr>
        <w:t>th</w:t>
      </w:r>
      <w:r w:rsidRPr="00AF13E3">
        <w:rPr>
          <w:rFonts w:cs="Arial"/>
          <w:szCs w:val="24"/>
        </w:rPr>
        <w:t xml:space="preserve"> October, with payroll and HR being progressed with an estimated go live date of April 2022. Cabinet were updated in September 2021, </w:t>
      </w:r>
      <w:r>
        <w:rPr>
          <w:rFonts w:cs="Arial"/>
          <w:szCs w:val="24"/>
        </w:rPr>
        <w:t xml:space="preserve">(as part of the Quarter 1 </w:t>
      </w:r>
      <w:r w:rsidRPr="00AF13E3">
        <w:rPr>
          <w:rFonts w:cs="Arial"/>
          <w:szCs w:val="24"/>
        </w:rPr>
        <w:t>budget monitoring update</w:t>
      </w:r>
      <w:r>
        <w:rPr>
          <w:rFonts w:cs="Arial"/>
          <w:szCs w:val="24"/>
        </w:rPr>
        <w:t xml:space="preserve">) and </w:t>
      </w:r>
      <w:r w:rsidRPr="00AF13E3">
        <w:rPr>
          <w:rFonts w:cs="Arial"/>
          <w:szCs w:val="24"/>
        </w:rPr>
        <w:t>were asked to note that £500k of the phase II budget was being drawn down to cover delay costs to 31</w:t>
      </w:r>
      <w:r w:rsidRPr="00AF13E3">
        <w:rPr>
          <w:rFonts w:cs="Arial"/>
          <w:szCs w:val="24"/>
          <w:vertAlign w:val="superscript"/>
        </w:rPr>
        <w:t>st</w:t>
      </w:r>
      <w:r w:rsidRPr="00AF13E3">
        <w:rPr>
          <w:rFonts w:cs="Arial"/>
          <w:szCs w:val="24"/>
        </w:rPr>
        <w:t xml:space="preserve"> March 2022.</w:t>
      </w:r>
    </w:p>
    <w:p w14:paraId="530EBEF6" w14:textId="77777777" w:rsidR="00AF13E3" w:rsidRPr="00AF13E3" w:rsidRDefault="00AF13E3" w:rsidP="004F521B">
      <w:pPr>
        <w:pStyle w:val="ListParagraph"/>
        <w:rPr>
          <w:rFonts w:cs="Arial"/>
          <w:szCs w:val="24"/>
        </w:rPr>
      </w:pPr>
    </w:p>
    <w:p w14:paraId="2839F8E9" w14:textId="77777777" w:rsidR="00AF13E3" w:rsidRPr="00AF13E3" w:rsidRDefault="00AF13E3" w:rsidP="004F521B">
      <w:pPr>
        <w:pStyle w:val="ListParagraph"/>
        <w:tabs>
          <w:tab w:val="left" w:pos="567"/>
        </w:tabs>
        <w:ind w:left="567"/>
        <w:jc w:val="both"/>
        <w:rPr>
          <w:rFonts w:cs="Arial"/>
          <w:szCs w:val="24"/>
        </w:rPr>
      </w:pPr>
    </w:p>
    <w:p w14:paraId="1EA0AE47" w14:textId="449625C2" w:rsidR="00AF13E3" w:rsidRPr="003774CC" w:rsidRDefault="00AF13E3" w:rsidP="003774CC">
      <w:pPr>
        <w:pStyle w:val="ListParagraph"/>
        <w:numPr>
          <w:ilvl w:val="0"/>
          <w:numId w:val="5"/>
        </w:numPr>
        <w:tabs>
          <w:tab w:val="left" w:pos="567"/>
        </w:tabs>
        <w:ind w:left="567" w:hanging="567"/>
        <w:jc w:val="both"/>
        <w:rPr>
          <w:rFonts w:cs="Arial"/>
          <w:szCs w:val="24"/>
        </w:rPr>
      </w:pPr>
      <w:r w:rsidRPr="00AF13E3">
        <w:rPr>
          <w:rFonts w:cs="Arial"/>
          <w:szCs w:val="24"/>
        </w:rPr>
        <w:t xml:space="preserve">The total budget in the Capital Programme associated with enhancing Dynamics 365 is £1.7 m (£1.050m in 2021/22 and £0.650m in 2022/23). Out of the £1.7m, £1m relates to HR enhancements.  </w:t>
      </w:r>
      <w:r>
        <w:rPr>
          <w:rFonts w:cs="Arial"/>
          <w:szCs w:val="24"/>
        </w:rPr>
        <w:t>C</w:t>
      </w:r>
      <w:r w:rsidRPr="00AF13E3">
        <w:rPr>
          <w:rFonts w:cs="Arial"/>
          <w:szCs w:val="24"/>
        </w:rPr>
        <w:t>abinet are requested to note a further draw down of £500k to cover the completion of the Phase I project and to cover some of the additional HR functionality which was in the second phase of the Dynamics project. Given the current focus of the project team is to go live with payroll and HR by 1st April, it</w:t>
      </w:r>
      <w:r>
        <w:rPr>
          <w:rFonts w:cs="Arial"/>
          <w:szCs w:val="24"/>
        </w:rPr>
        <w:t xml:space="preserve"> is</w:t>
      </w:r>
      <w:r w:rsidRPr="00AF13E3">
        <w:rPr>
          <w:rFonts w:cs="Arial"/>
          <w:szCs w:val="24"/>
        </w:rPr>
        <w:t xml:space="preserve"> likely that any new HR functionality will be timetabled for post April 2022, once HR and payroll have gone live.</w:t>
      </w:r>
      <w:r>
        <w:rPr>
          <w:rFonts w:cs="Arial"/>
          <w:szCs w:val="24"/>
        </w:rPr>
        <w:t xml:space="preserve"> </w:t>
      </w:r>
    </w:p>
    <w:p w14:paraId="326DE57C" w14:textId="4D362B6D" w:rsidR="003774CC" w:rsidRDefault="003774CC" w:rsidP="003774CC">
      <w:pPr>
        <w:pStyle w:val="ListParagraph"/>
        <w:rPr>
          <w:b/>
          <w:bCs/>
          <w:szCs w:val="24"/>
        </w:rPr>
      </w:pPr>
    </w:p>
    <w:p w14:paraId="419326ED" w14:textId="77777777" w:rsidR="003774CC" w:rsidRPr="00AF13E3" w:rsidRDefault="003774CC" w:rsidP="004F521B">
      <w:pPr>
        <w:tabs>
          <w:tab w:val="left" w:pos="142"/>
          <w:tab w:val="left" w:pos="284"/>
          <w:tab w:val="left" w:pos="709"/>
        </w:tabs>
        <w:ind w:right="2"/>
        <w:contextualSpacing/>
        <w:jc w:val="both"/>
        <w:rPr>
          <w:rFonts w:cs="Arial"/>
        </w:rPr>
      </w:pPr>
    </w:p>
    <w:p w14:paraId="229AB5BC" w14:textId="63547563" w:rsidR="003774CC" w:rsidRPr="00AF13E3" w:rsidRDefault="003774CC" w:rsidP="004F521B">
      <w:pPr>
        <w:pStyle w:val="ListParagraph"/>
        <w:ind w:left="567"/>
        <w:jc w:val="both"/>
      </w:pPr>
      <w:r w:rsidRPr="001A2B6C">
        <w:rPr>
          <w:rFonts w:cs="Arial"/>
          <w:b/>
          <w:szCs w:val="24"/>
        </w:rPr>
        <w:t>Additions to the Capital Programme</w:t>
      </w:r>
    </w:p>
    <w:p w14:paraId="79B20C87" w14:textId="77777777" w:rsidR="003774CC" w:rsidRPr="003774CC" w:rsidRDefault="003774CC" w:rsidP="003774CC">
      <w:pPr>
        <w:pStyle w:val="ListParagraph"/>
        <w:rPr>
          <w:b/>
          <w:bCs/>
          <w:szCs w:val="24"/>
        </w:rPr>
      </w:pPr>
    </w:p>
    <w:p w14:paraId="7F8C1BAB" w14:textId="1D31C473" w:rsidR="003774CC" w:rsidRPr="003774CC" w:rsidRDefault="001A2B6C" w:rsidP="003774CC">
      <w:pPr>
        <w:pStyle w:val="ListParagraph"/>
        <w:numPr>
          <w:ilvl w:val="0"/>
          <w:numId w:val="5"/>
        </w:numPr>
        <w:tabs>
          <w:tab w:val="left" w:pos="567"/>
        </w:tabs>
        <w:ind w:left="567" w:hanging="567"/>
        <w:jc w:val="both"/>
        <w:rPr>
          <w:rFonts w:cs="Arial"/>
          <w:szCs w:val="24"/>
        </w:rPr>
      </w:pPr>
      <w:r w:rsidRPr="003774CC">
        <w:rPr>
          <w:b/>
          <w:bCs/>
          <w:szCs w:val="24"/>
        </w:rPr>
        <w:t>Litter in Project</w:t>
      </w:r>
      <w:r w:rsidR="008470E0" w:rsidRPr="003774CC">
        <w:rPr>
          <w:b/>
          <w:bCs/>
          <w:szCs w:val="24"/>
        </w:rPr>
        <w:t xml:space="preserve"> - £</w:t>
      </w:r>
      <w:r w:rsidRPr="003774CC">
        <w:rPr>
          <w:b/>
          <w:bCs/>
          <w:szCs w:val="24"/>
        </w:rPr>
        <w:t>17,693</w:t>
      </w:r>
      <w:r w:rsidR="008470E0" w:rsidRPr="003774CC">
        <w:rPr>
          <w:b/>
          <w:bCs/>
          <w:szCs w:val="24"/>
        </w:rPr>
        <w:t xml:space="preserve"> </w:t>
      </w:r>
    </w:p>
    <w:p w14:paraId="6B0E74B6" w14:textId="77777777" w:rsidR="003774CC" w:rsidRPr="003774CC" w:rsidRDefault="003774CC" w:rsidP="003774CC">
      <w:pPr>
        <w:pStyle w:val="ListParagraph"/>
        <w:tabs>
          <w:tab w:val="left" w:pos="567"/>
        </w:tabs>
        <w:ind w:left="567"/>
        <w:jc w:val="both"/>
        <w:rPr>
          <w:rFonts w:cs="Arial"/>
          <w:szCs w:val="24"/>
        </w:rPr>
      </w:pPr>
    </w:p>
    <w:p w14:paraId="6FA7DE8C" w14:textId="77777777" w:rsidR="003774CC" w:rsidRPr="003774CC" w:rsidRDefault="001A2B6C" w:rsidP="003774CC">
      <w:pPr>
        <w:pStyle w:val="ListParagraph"/>
        <w:numPr>
          <w:ilvl w:val="0"/>
          <w:numId w:val="5"/>
        </w:numPr>
        <w:tabs>
          <w:tab w:val="left" w:pos="567"/>
        </w:tabs>
        <w:ind w:left="567" w:hanging="567"/>
        <w:jc w:val="both"/>
        <w:rPr>
          <w:rFonts w:cs="Arial"/>
          <w:szCs w:val="24"/>
        </w:rPr>
      </w:pPr>
      <w:r w:rsidRPr="001A2B6C">
        <w:t>Following the successful application of the Litter Bin-</w:t>
      </w:r>
      <w:proofErr w:type="spellStart"/>
      <w:r w:rsidRPr="001A2B6C">
        <w:t>frastructure</w:t>
      </w:r>
      <w:proofErr w:type="spellEnd"/>
      <w:r w:rsidRPr="001A2B6C">
        <w:t xml:space="preserve"> grant scheme, WRAP has awarded a funding of £17,693 to undertake a litter project that focuses on raising awareness of litter and educates on what can be done with it. The project will focus on 30 primary schools and install 2 bins outside each school at located agreed with them. The funding will be used on the purchase of </w:t>
      </w:r>
      <w:proofErr w:type="gramStart"/>
      <w:r w:rsidRPr="001A2B6C">
        <w:t>bins,</w:t>
      </w:r>
      <w:proofErr w:type="gramEnd"/>
      <w:r w:rsidRPr="001A2B6C">
        <w:t xml:space="preserve"> therefore it is proposed that additional funding of £17,693 is included in the Capital Programme.</w:t>
      </w:r>
    </w:p>
    <w:p w14:paraId="1611A064" w14:textId="77777777" w:rsidR="003774CC" w:rsidRPr="003774CC" w:rsidRDefault="003774CC" w:rsidP="003774CC">
      <w:pPr>
        <w:pStyle w:val="ListParagraph"/>
        <w:rPr>
          <w:rFonts w:cs="Arial"/>
          <w:b/>
          <w:bCs/>
        </w:rPr>
      </w:pPr>
    </w:p>
    <w:p w14:paraId="42010686" w14:textId="77777777" w:rsidR="003774CC" w:rsidRPr="003774CC" w:rsidRDefault="001A2B6C" w:rsidP="003774CC">
      <w:pPr>
        <w:pStyle w:val="ListParagraph"/>
        <w:numPr>
          <w:ilvl w:val="0"/>
          <w:numId w:val="5"/>
        </w:numPr>
        <w:tabs>
          <w:tab w:val="left" w:pos="567"/>
        </w:tabs>
        <w:ind w:left="567" w:hanging="567"/>
        <w:jc w:val="both"/>
        <w:rPr>
          <w:rFonts w:cs="Arial"/>
          <w:szCs w:val="24"/>
        </w:rPr>
      </w:pPr>
      <w:r w:rsidRPr="003774CC">
        <w:rPr>
          <w:rFonts w:cs="Arial"/>
          <w:b/>
          <w:bCs/>
        </w:rPr>
        <w:t>Headstone Manor Park for People - £308,371</w:t>
      </w:r>
    </w:p>
    <w:p w14:paraId="3C641BD8" w14:textId="77777777" w:rsidR="003774CC" w:rsidRDefault="003774CC" w:rsidP="003774CC">
      <w:pPr>
        <w:pStyle w:val="ListParagraph"/>
      </w:pPr>
    </w:p>
    <w:p w14:paraId="0521AAAF" w14:textId="77777777" w:rsidR="003774CC" w:rsidRPr="003774CC" w:rsidRDefault="001A2B6C" w:rsidP="003774CC">
      <w:pPr>
        <w:pStyle w:val="ListParagraph"/>
        <w:numPr>
          <w:ilvl w:val="0"/>
          <w:numId w:val="5"/>
        </w:numPr>
        <w:tabs>
          <w:tab w:val="left" w:pos="567"/>
        </w:tabs>
        <w:ind w:left="567" w:hanging="567"/>
        <w:jc w:val="both"/>
        <w:rPr>
          <w:rFonts w:cs="Arial"/>
          <w:szCs w:val="24"/>
        </w:rPr>
      </w:pPr>
      <w:r w:rsidRPr="001A2B6C">
        <w:t xml:space="preserve">The Headstone Manor Park for People project was in the previous year’s Capital Programme with a total budget of £1.797m. Due to two periods of prolonged wet weather and Covid-19 lockdowns, the project was delayed with resultant contractor claims and extension of time. The work has now been completed and the final account from the contractor is produced. The additional costs of £359,289 over budget are being met from an additional grant of £265,100 recently secured from Heritage Lottery Fund (original funder of the project), additional S106 funding of £43,271 not previously utilised on the project and an existing budget of £50,918 in Highway Drainage of the Capital Programme. It is therefore proposed that a total additional funding of £308,371 is included in the Capital Programme. A separate approval will be sought for the use of budget of £50,918 from Highway Drainage project by way of a budget virement under delegated authority in accordance with Financial Regulations. </w:t>
      </w:r>
    </w:p>
    <w:p w14:paraId="779DC06E" w14:textId="77777777" w:rsidR="003774CC" w:rsidRPr="003774CC" w:rsidRDefault="003774CC" w:rsidP="003774CC">
      <w:pPr>
        <w:pStyle w:val="ListParagraph"/>
        <w:rPr>
          <w:rFonts w:cs="Arial"/>
          <w:b/>
          <w:bCs/>
        </w:rPr>
      </w:pPr>
    </w:p>
    <w:p w14:paraId="0BBDE22E" w14:textId="77777777" w:rsidR="003774CC" w:rsidRPr="003774CC" w:rsidRDefault="001A2B6C" w:rsidP="003774CC">
      <w:pPr>
        <w:pStyle w:val="ListParagraph"/>
        <w:numPr>
          <w:ilvl w:val="0"/>
          <w:numId w:val="5"/>
        </w:numPr>
        <w:tabs>
          <w:tab w:val="left" w:pos="567"/>
        </w:tabs>
        <w:ind w:left="567" w:hanging="567"/>
        <w:jc w:val="both"/>
        <w:rPr>
          <w:rFonts w:cs="Arial"/>
          <w:szCs w:val="24"/>
        </w:rPr>
      </w:pPr>
      <w:r w:rsidRPr="003774CC">
        <w:rPr>
          <w:rFonts w:cs="Arial"/>
          <w:b/>
          <w:bCs/>
        </w:rPr>
        <w:t>Parks Infrastructure - £15,000</w:t>
      </w:r>
    </w:p>
    <w:p w14:paraId="0E9AB9E9" w14:textId="77777777" w:rsidR="003774CC" w:rsidRDefault="003774CC" w:rsidP="003774CC">
      <w:pPr>
        <w:pStyle w:val="ListParagraph"/>
      </w:pPr>
    </w:p>
    <w:p w14:paraId="446ECC56" w14:textId="01F0BE37" w:rsidR="001A2B6C" w:rsidRPr="003774CC" w:rsidRDefault="001A2B6C" w:rsidP="003774CC">
      <w:pPr>
        <w:pStyle w:val="ListParagraph"/>
        <w:numPr>
          <w:ilvl w:val="0"/>
          <w:numId w:val="5"/>
        </w:numPr>
        <w:tabs>
          <w:tab w:val="left" w:pos="567"/>
        </w:tabs>
        <w:ind w:left="567" w:hanging="567"/>
        <w:jc w:val="both"/>
        <w:rPr>
          <w:rFonts w:cs="Arial"/>
          <w:szCs w:val="24"/>
        </w:rPr>
      </w:pPr>
      <w:r w:rsidRPr="001A2B6C">
        <w:t>A funding of £15,000 from Heritage of London Trust has been secured to contribute towards the restoration of the historic railings and gates and the stone piers of Cedars Open Space. It is therefore proposed that additional funding of £15,000 is included to Parks Infrastructure capital programme.</w:t>
      </w:r>
    </w:p>
    <w:p w14:paraId="7EB36BB7" w14:textId="77777777" w:rsidR="00722D4A" w:rsidRPr="000D0DD2" w:rsidRDefault="00722D4A" w:rsidP="00722D4A">
      <w:pPr>
        <w:tabs>
          <w:tab w:val="left" w:pos="142"/>
          <w:tab w:val="left" w:pos="284"/>
          <w:tab w:val="left" w:pos="709"/>
        </w:tabs>
        <w:ind w:right="2"/>
        <w:contextualSpacing/>
        <w:jc w:val="both"/>
        <w:rPr>
          <w:color w:val="FF0000"/>
          <w:szCs w:val="24"/>
        </w:rPr>
      </w:pPr>
    </w:p>
    <w:p w14:paraId="3422CE58" w14:textId="77777777" w:rsidR="008470E0" w:rsidRPr="000D0DD2" w:rsidRDefault="008470E0" w:rsidP="008470E0">
      <w:pPr>
        <w:pStyle w:val="ListParagraph"/>
        <w:rPr>
          <w:color w:val="FF0000"/>
          <w:szCs w:val="24"/>
        </w:rPr>
      </w:pPr>
    </w:p>
    <w:p w14:paraId="3652C5BC" w14:textId="77777777" w:rsidR="008470E0" w:rsidRPr="00872667" w:rsidRDefault="008470E0" w:rsidP="008470E0">
      <w:pPr>
        <w:pStyle w:val="ListParagraph"/>
        <w:numPr>
          <w:ilvl w:val="0"/>
          <w:numId w:val="7"/>
        </w:numPr>
        <w:tabs>
          <w:tab w:val="left" w:pos="567"/>
        </w:tabs>
        <w:ind w:left="567" w:hanging="567"/>
        <w:jc w:val="both"/>
        <w:rPr>
          <w:rFonts w:cs="Arial"/>
          <w:b/>
          <w:szCs w:val="24"/>
          <w:u w:val="single"/>
        </w:rPr>
      </w:pPr>
      <w:r w:rsidRPr="00872667">
        <w:rPr>
          <w:rFonts w:cs="Arial"/>
          <w:b/>
          <w:szCs w:val="24"/>
          <w:u w:val="single"/>
        </w:rPr>
        <w:t xml:space="preserve">COUNCIL TRADING STRUCTURE UPDATE 2021/22 </w:t>
      </w:r>
    </w:p>
    <w:p w14:paraId="207886E1" w14:textId="77777777" w:rsidR="008470E0" w:rsidRPr="00872667" w:rsidRDefault="008470E0" w:rsidP="008470E0">
      <w:pPr>
        <w:pStyle w:val="ListParagraph"/>
        <w:tabs>
          <w:tab w:val="left" w:pos="567"/>
        </w:tabs>
        <w:ind w:left="567"/>
        <w:jc w:val="both"/>
        <w:rPr>
          <w:rFonts w:cs="Arial"/>
          <w:b/>
          <w:szCs w:val="24"/>
          <w:u w:val="single"/>
        </w:rPr>
      </w:pPr>
    </w:p>
    <w:p w14:paraId="4ADB2773" w14:textId="77777777" w:rsidR="008470E0" w:rsidRPr="00872667" w:rsidRDefault="008470E0" w:rsidP="008470E0">
      <w:pPr>
        <w:pStyle w:val="ListParagraph"/>
        <w:numPr>
          <w:ilvl w:val="1"/>
          <w:numId w:val="12"/>
        </w:numPr>
        <w:tabs>
          <w:tab w:val="left" w:pos="567"/>
        </w:tabs>
        <w:ind w:left="567" w:hanging="567"/>
        <w:jc w:val="both"/>
      </w:pPr>
      <w:r w:rsidRPr="00872667">
        <w:rPr>
          <w:rFonts w:cs="Arial"/>
          <w:szCs w:val="24"/>
        </w:rPr>
        <w:t>The Council’s Trading Structure update is attached at Appendix 6 and summarises the financial position and provides a general update on the activities of all the Council’s trading entities.</w:t>
      </w:r>
    </w:p>
    <w:p w14:paraId="54854C14" w14:textId="77777777" w:rsidR="008470E0" w:rsidRPr="000D0DD2" w:rsidRDefault="008470E0" w:rsidP="008470E0">
      <w:pPr>
        <w:pStyle w:val="ListParagraph"/>
        <w:tabs>
          <w:tab w:val="left" w:pos="567"/>
        </w:tabs>
        <w:ind w:left="567"/>
        <w:jc w:val="both"/>
        <w:rPr>
          <w:color w:val="FF0000"/>
        </w:rPr>
      </w:pPr>
    </w:p>
    <w:p w14:paraId="6B33E68F" w14:textId="77777777" w:rsidR="008470E0" w:rsidRPr="000D0DD2" w:rsidRDefault="008470E0" w:rsidP="008470E0">
      <w:pPr>
        <w:pStyle w:val="ListParagraph"/>
        <w:tabs>
          <w:tab w:val="left" w:pos="567"/>
        </w:tabs>
        <w:ind w:left="0"/>
        <w:jc w:val="both"/>
        <w:rPr>
          <w:rFonts w:cs="Arial"/>
          <w:color w:val="FF0000"/>
          <w:szCs w:val="24"/>
        </w:rPr>
      </w:pPr>
    </w:p>
    <w:p w14:paraId="4120F795" w14:textId="77777777" w:rsidR="008470E0" w:rsidRPr="00F52080" w:rsidRDefault="008470E0" w:rsidP="008470E0">
      <w:pPr>
        <w:pStyle w:val="ListParagraph"/>
        <w:numPr>
          <w:ilvl w:val="0"/>
          <w:numId w:val="7"/>
        </w:numPr>
        <w:ind w:left="567" w:hanging="567"/>
        <w:jc w:val="both"/>
        <w:rPr>
          <w:b/>
          <w:szCs w:val="24"/>
          <w:u w:val="single"/>
        </w:rPr>
      </w:pPr>
      <w:r w:rsidRPr="00F52080">
        <w:rPr>
          <w:b/>
          <w:szCs w:val="24"/>
          <w:u w:val="single"/>
        </w:rPr>
        <w:t>REPORTING FOR THE 202</w:t>
      </w:r>
      <w:r>
        <w:rPr>
          <w:b/>
          <w:szCs w:val="24"/>
          <w:u w:val="single"/>
        </w:rPr>
        <w:t>1/22</w:t>
      </w:r>
      <w:r w:rsidRPr="00F52080">
        <w:rPr>
          <w:b/>
          <w:szCs w:val="24"/>
          <w:u w:val="single"/>
        </w:rPr>
        <w:t xml:space="preserve"> FINANCIAL YEAR</w:t>
      </w:r>
    </w:p>
    <w:p w14:paraId="28C6DDE1" w14:textId="77777777" w:rsidR="008470E0" w:rsidRPr="00F52080" w:rsidRDefault="008470E0" w:rsidP="008470E0">
      <w:pPr>
        <w:jc w:val="both"/>
        <w:rPr>
          <w:b/>
          <w:szCs w:val="24"/>
          <w:u w:val="single"/>
        </w:rPr>
      </w:pPr>
    </w:p>
    <w:p w14:paraId="703AD6E7" w14:textId="41AE9E12" w:rsidR="008470E0" w:rsidRPr="00A576F8" w:rsidRDefault="008470E0" w:rsidP="008470E0">
      <w:pPr>
        <w:pStyle w:val="ListParagraph"/>
        <w:numPr>
          <w:ilvl w:val="1"/>
          <w:numId w:val="7"/>
        </w:numPr>
        <w:ind w:left="567" w:hanging="567"/>
        <w:jc w:val="both"/>
        <w:rPr>
          <w:szCs w:val="24"/>
        </w:rPr>
      </w:pPr>
      <w:r w:rsidRPr="00A576F8">
        <w:rPr>
          <w:szCs w:val="24"/>
        </w:rPr>
        <w:t xml:space="preserve">This is the </w:t>
      </w:r>
      <w:r w:rsidR="000D0DD2">
        <w:rPr>
          <w:szCs w:val="24"/>
        </w:rPr>
        <w:t>second</w:t>
      </w:r>
      <w:r w:rsidRPr="00A576F8">
        <w:rPr>
          <w:szCs w:val="24"/>
        </w:rPr>
        <w:t xml:space="preserve"> revenue and capital budget monitoring report for 2021/22.</w:t>
      </w:r>
    </w:p>
    <w:p w14:paraId="1C5357C7" w14:textId="77777777" w:rsidR="008470E0" w:rsidRDefault="008470E0" w:rsidP="008470E0">
      <w:pPr>
        <w:pStyle w:val="ListParagraph"/>
        <w:ind w:left="567"/>
        <w:jc w:val="both"/>
        <w:rPr>
          <w:szCs w:val="24"/>
        </w:rPr>
      </w:pPr>
    </w:p>
    <w:p w14:paraId="445B2A82" w14:textId="77777777" w:rsidR="008470E0" w:rsidRDefault="008470E0" w:rsidP="008470E0">
      <w:pPr>
        <w:pStyle w:val="ListParagraph"/>
        <w:numPr>
          <w:ilvl w:val="1"/>
          <w:numId w:val="7"/>
        </w:numPr>
        <w:ind w:left="567" w:hanging="567"/>
        <w:jc w:val="both"/>
        <w:rPr>
          <w:szCs w:val="24"/>
        </w:rPr>
      </w:pPr>
      <w:r>
        <w:rPr>
          <w:szCs w:val="24"/>
        </w:rPr>
        <w:t>Cabinet will receive quarterly monitoring reports during the year as follows:</w:t>
      </w:r>
    </w:p>
    <w:p w14:paraId="787AA66C" w14:textId="44BAB49D" w:rsidR="008470E0" w:rsidRDefault="008470E0" w:rsidP="000D0DD2">
      <w:pPr>
        <w:pStyle w:val="ListParagraph"/>
        <w:ind w:left="1701"/>
        <w:jc w:val="both"/>
        <w:rPr>
          <w:szCs w:val="24"/>
        </w:rPr>
      </w:pPr>
    </w:p>
    <w:p w14:paraId="144F7E57" w14:textId="77777777" w:rsidR="008470E0" w:rsidRDefault="008470E0" w:rsidP="008470E0">
      <w:pPr>
        <w:pStyle w:val="ListParagraph"/>
        <w:numPr>
          <w:ilvl w:val="2"/>
          <w:numId w:val="15"/>
        </w:numPr>
        <w:ind w:left="1701" w:hanging="567"/>
        <w:jc w:val="both"/>
        <w:rPr>
          <w:szCs w:val="24"/>
        </w:rPr>
      </w:pPr>
      <w:r>
        <w:rPr>
          <w:szCs w:val="24"/>
        </w:rPr>
        <w:t>Quarter 3 – February 2022</w:t>
      </w:r>
    </w:p>
    <w:p w14:paraId="48AE81E2" w14:textId="77777777" w:rsidR="008470E0" w:rsidRPr="00A576F8" w:rsidRDefault="008470E0" w:rsidP="008470E0">
      <w:pPr>
        <w:pStyle w:val="ListParagraph"/>
        <w:numPr>
          <w:ilvl w:val="2"/>
          <w:numId w:val="15"/>
        </w:numPr>
        <w:ind w:left="1701" w:hanging="567"/>
        <w:jc w:val="both"/>
        <w:rPr>
          <w:szCs w:val="24"/>
        </w:rPr>
      </w:pPr>
      <w:r>
        <w:rPr>
          <w:szCs w:val="24"/>
        </w:rPr>
        <w:t xml:space="preserve">Outturn report – June 2022 </w:t>
      </w:r>
    </w:p>
    <w:p w14:paraId="69B9905E" w14:textId="77777777" w:rsidR="008470E0" w:rsidRDefault="008470E0" w:rsidP="008470E0">
      <w:pPr>
        <w:ind w:left="1211"/>
        <w:jc w:val="both"/>
        <w:rPr>
          <w:szCs w:val="24"/>
        </w:rPr>
      </w:pPr>
    </w:p>
    <w:p w14:paraId="0EE45B1D" w14:textId="77777777" w:rsidR="008470E0" w:rsidRPr="00F52080" w:rsidRDefault="008470E0" w:rsidP="008470E0">
      <w:pPr>
        <w:ind w:left="1211"/>
        <w:jc w:val="both"/>
        <w:rPr>
          <w:szCs w:val="24"/>
        </w:rPr>
      </w:pPr>
    </w:p>
    <w:p w14:paraId="69882FC4" w14:textId="748352B5" w:rsidR="008470E0" w:rsidRDefault="008470E0" w:rsidP="008470E0">
      <w:pPr>
        <w:pStyle w:val="Heading2"/>
        <w:ind w:left="567" w:hanging="567"/>
        <w:jc w:val="both"/>
        <w:rPr>
          <w:rFonts w:ascii="Arial" w:hAnsi="Arial"/>
          <w:bCs w:val="0"/>
          <w:sz w:val="24"/>
          <w:szCs w:val="24"/>
        </w:rPr>
      </w:pPr>
      <w:r w:rsidRPr="00F52080">
        <w:rPr>
          <w:b w:val="0"/>
          <w:sz w:val="24"/>
          <w:szCs w:val="24"/>
        </w:rPr>
        <w:t>6.0</w:t>
      </w:r>
      <w:r w:rsidRPr="00F52080">
        <w:rPr>
          <w:sz w:val="24"/>
          <w:szCs w:val="24"/>
        </w:rPr>
        <w:t xml:space="preserve">   </w:t>
      </w:r>
      <w:r w:rsidRPr="008470E0">
        <w:rPr>
          <w:rFonts w:ascii="Arial" w:hAnsi="Arial"/>
          <w:bCs w:val="0"/>
          <w:sz w:val="24"/>
          <w:szCs w:val="24"/>
        </w:rPr>
        <w:t>Implications of the Recommendation</w:t>
      </w:r>
    </w:p>
    <w:p w14:paraId="6D08E828" w14:textId="77777777" w:rsidR="008470E0" w:rsidRPr="008470E0" w:rsidRDefault="008470E0" w:rsidP="008470E0"/>
    <w:p w14:paraId="289D4FF1" w14:textId="77777777" w:rsidR="008470E0" w:rsidRPr="00F52080" w:rsidRDefault="008470E0" w:rsidP="008470E0">
      <w:pPr>
        <w:ind w:left="709" w:hanging="709"/>
        <w:jc w:val="both"/>
        <w:rPr>
          <w:szCs w:val="24"/>
        </w:rPr>
      </w:pPr>
      <w:r w:rsidRPr="00F52080">
        <w:rPr>
          <w:b/>
          <w:szCs w:val="24"/>
        </w:rPr>
        <w:t xml:space="preserve">         </w:t>
      </w:r>
      <w:r w:rsidRPr="00F52080">
        <w:rPr>
          <w:szCs w:val="24"/>
        </w:rPr>
        <w:t>Implications of recommendation are set out in the body of this report.</w:t>
      </w:r>
    </w:p>
    <w:p w14:paraId="36108CF2" w14:textId="77777777" w:rsidR="008470E0" w:rsidRPr="00F52080" w:rsidRDefault="008470E0" w:rsidP="008470E0">
      <w:pPr>
        <w:jc w:val="both"/>
        <w:rPr>
          <w:b/>
          <w:szCs w:val="24"/>
        </w:rPr>
      </w:pPr>
    </w:p>
    <w:p w14:paraId="33FBE2D3" w14:textId="77777777" w:rsidR="008470E0" w:rsidRPr="00F52080" w:rsidRDefault="008470E0" w:rsidP="008470E0">
      <w:pPr>
        <w:pStyle w:val="Heading4"/>
        <w:tabs>
          <w:tab w:val="left" w:pos="567"/>
        </w:tabs>
        <w:jc w:val="both"/>
        <w:rPr>
          <w:szCs w:val="24"/>
        </w:rPr>
      </w:pPr>
      <w:r w:rsidRPr="00150E56">
        <w:rPr>
          <w:bCs/>
          <w:szCs w:val="24"/>
        </w:rPr>
        <w:t>7.0</w:t>
      </w:r>
      <w:r w:rsidRPr="00F52080">
        <w:rPr>
          <w:b w:val="0"/>
          <w:szCs w:val="24"/>
        </w:rPr>
        <w:tab/>
      </w:r>
      <w:r w:rsidRPr="00F52080">
        <w:rPr>
          <w:szCs w:val="24"/>
        </w:rPr>
        <w:t>Performance Issues</w:t>
      </w:r>
      <w:r w:rsidRPr="00F52080">
        <w:rPr>
          <w:szCs w:val="24"/>
        </w:rPr>
        <w:tab/>
      </w:r>
    </w:p>
    <w:p w14:paraId="61399A5B" w14:textId="77777777" w:rsidR="008470E0" w:rsidRPr="00F52080" w:rsidRDefault="008470E0" w:rsidP="008470E0">
      <w:pPr>
        <w:tabs>
          <w:tab w:val="left" w:pos="7245"/>
        </w:tabs>
        <w:ind w:left="567"/>
        <w:jc w:val="both"/>
        <w:rPr>
          <w:szCs w:val="24"/>
        </w:rPr>
      </w:pPr>
    </w:p>
    <w:p w14:paraId="79E38FDD" w14:textId="77777777" w:rsidR="008470E0" w:rsidRPr="00F52080" w:rsidRDefault="008470E0" w:rsidP="008470E0">
      <w:pPr>
        <w:tabs>
          <w:tab w:val="left" w:pos="7245"/>
        </w:tabs>
        <w:ind w:left="567"/>
        <w:jc w:val="both"/>
        <w:rPr>
          <w:szCs w:val="24"/>
          <w:lang w:val="en-US"/>
        </w:rPr>
      </w:pPr>
      <w:r w:rsidRPr="00F52080">
        <w:rPr>
          <w:szCs w:val="24"/>
        </w:rPr>
        <w:t xml:space="preserve">Good financial monitoring is essential to </w:t>
      </w:r>
      <w:r w:rsidRPr="00F52080">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2A130653" w14:textId="77777777" w:rsidR="008470E0" w:rsidRPr="00F52080" w:rsidRDefault="008470E0" w:rsidP="008470E0">
      <w:pPr>
        <w:tabs>
          <w:tab w:val="left" w:pos="7245"/>
        </w:tabs>
        <w:ind w:left="709"/>
        <w:jc w:val="both"/>
        <w:rPr>
          <w:szCs w:val="24"/>
          <w:lang w:val="en-US"/>
        </w:rPr>
      </w:pPr>
    </w:p>
    <w:p w14:paraId="36E66D81" w14:textId="229D34CB" w:rsidR="008470E0" w:rsidRPr="00705B4A" w:rsidRDefault="008470E0" w:rsidP="008470E0">
      <w:pPr>
        <w:tabs>
          <w:tab w:val="left" w:pos="7245"/>
        </w:tabs>
        <w:ind w:left="567"/>
        <w:jc w:val="both"/>
        <w:rPr>
          <w:szCs w:val="24"/>
        </w:rPr>
      </w:pPr>
      <w:r w:rsidRPr="006D1A86">
        <w:rPr>
          <w:szCs w:val="24"/>
        </w:rPr>
        <w:t>As at Q</w:t>
      </w:r>
      <w:r w:rsidR="00705B4A">
        <w:rPr>
          <w:szCs w:val="24"/>
        </w:rPr>
        <w:t>2</w:t>
      </w:r>
      <w:r w:rsidRPr="006D1A86">
        <w:rPr>
          <w:szCs w:val="24"/>
        </w:rPr>
        <w:t xml:space="preserve"> the forecast position on the revenue budget is an overspend of £</w:t>
      </w:r>
      <w:r w:rsidR="000D0DD2" w:rsidRPr="00705B4A">
        <w:rPr>
          <w:szCs w:val="24"/>
        </w:rPr>
        <w:t>101</w:t>
      </w:r>
      <w:r w:rsidRPr="00705B4A">
        <w:rPr>
          <w:szCs w:val="24"/>
        </w:rPr>
        <w:t>k</w:t>
      </w:r>
    </w:p>
    <w:p w14:paraId="4103AF0D" w14:textId="77777777" w:rsidR="008470E0" w:rsidRPr="00705B4A" w:rsidRDefault="008470E0" w:rsidP="008470E0">
      <w:pPr>
        <w:tabs>
          <w:tab w:val="left" w:pos="7245"/>
        </w:tabs>
        <w:ind w:left="709"/>
        <w:jc w:val="both"/>
        <w:rPr>
          <w:szCs w:val="24"/>
        </w:rPr>
      </w:pPr>
    </w:p>
    <w:p w14:paraId="455F609C" w14:textId="77777777" w:rsidR="008470E0" w:rsidRPr="00705B4A" w:rsidRDefault="008470E0" w:rsidP="008470E0">
      <w:pPr>
        <w:tabs>
          <w:tab w:val="left" w:pos="7245"/>
        </w:tabs>
        <w:ind w:left="567"/>
        <w:jc w:val="both"/>
        <w:rPr>
          <w:szCs w:val="24"/>
        </w:rPr>
      </w:pPr>
      <w:r w:rsidRPr="00705B4A">
        <w:rPr>
          <w:szCs w:val="24"/>
        </w:rPr>
        <w:t>For the 2021/22 savings built into the MTFS total £3.443m.  The overall position is that 60% of the savings are RAG rated as Green (Clear delivery plans in place and project running to timescale), 5% amber (Potential for slippage, project will be delivered as originally intended but not within timescale, so saving will not be fully realised) and 35% red (Project may have started but will deliver no savings in the current financial year).</w:t>
      </w:r>
    </w:p>
    <w:p w14:paraId="770A272C" w14:textId="77777777" w:rsidR="008470E0" w:rsidRPr="000D0DD2" w:rsidRDefault="008470E0" w:rsidP="008470E0">
      <w:pPr>
        <w:tabs>
          <w:tab w:val="left" w:pos="7245"/>
        </w:tabs>
        <w:ind w:left="709"/>
        <w:jc w:val="both"/>
        <w:rPr>
          <w:color w:val="FF0000"/>
          <w:szCs w:val="24"/>
        </w:rPr>
      </w:pPr>
    </w:p>
    <w:p w14:paraId="5142348D" w14:textId="6A9B62D3" w:rsidR="00705B4A" w:rsidRDefault="00705B4A" w:rsidP="00705B4A">
      <w:pPr>
        <w:pStyle w:val="ListParagraph"/>
        <w:ind w:left="567"/>
        <w:contextualSpacing/>
        <w:jc w:val="both"/>
        <w:rPr>
          <w:rFonts w:cs="Arial"/>
          <w:bCs/>
          <w:szCs w:val="24"/>
        </w:rPr>
      </w:pPr>
      <w:r w:rsidRPr="00AC7EB2">
        <w:rPr>
          <w:rFonts w:cs="Arial"/>
          <w:szCs w:val="24"/>
        </w:rPr>
        <w:lastRenderedPageBreak/>
        <w:t xml:space="preserve">The general fund capital programme budget in 2021/22 </w:t>
      </w:r>
      <w:r w:rsidRPr="00AC7EB2">
        <w:rPr>
          <w:rFonts w:cs="Arial"/>
          <w:bCs/>
          <w:szCs w:val="24"/>
        </w:rPr>
        <w:t xml:space="preserve">is £113.027m. The net forecast position on the capital budget at Q2 is £88.826m which represents 79% of the total capital programme budget. </w:t>
      </w:r>
    </w:p>
    <w:p w14:paraId="662B1BA1" w14:textId="77777777" w:rsidR="00705B4A" w:rsidRPr="00075D7E" w:rsidRDefault="00705B4A" w:rsidP="00705B4A">
      <w:pPr>
        <w:pStyle w:val="ListParagraph"/>
        <w:ind w:left="567"/>
        <w:contextualSpacing/>
        <w:jc w:val="both"/>
        <w:rPr>
          <w:rFonts w:cs="Arial"/>
          <w:bCs/>
          <w:szCs w:val="24"/>
        </w:rPr>
      </w:pPr>
    </w:p>
    <w:p w14:paraId="126A07B4" w14:textId="1ECFEDAB" w:rsidR="00705B4A" w:rsidRPr="000D0DD2" w:rsidRDefault="00705B4A" w:rsidP="008470E0">
      <w:pPr>
        <w:tabs>
          <w:tab w:val="left" w:pos="7245"/>
        </w:tabs>
        <w:ind w:left="567"/>
        <w:jc w:val="both"/>
        <w:rPr>
          <w:i/>
          <w:color w:val="FF0000"/>
          <w:szCs w:val="24"/>
        </w:rPr>
      </w:pPr>
      <w:r w:rsidRPr="00AC7EB2">
        <w:rPr>
          <w:rFonts w:cs="Arial"/>
          <w:bCs/>
          <w:szCs w:val="24"/>
        </w:rPr>
        <w:t xml:space="preserve">The Housing Revenue Account capital programme budget is £102.645m. The net forecast position on the HRA capital budget at Q2 is £99.595m which represents 97% of the total HRA capital programme budget. </w:t>
      </w:r>
    </w:p>
    <w:p w14:paraId="658EFC53" w14:textId="77777777" w:rsidR="008470E0" w:rsidRPr="00C6595B" w:rsidRDefault="008470E0" w:rsidP="008470E0">
      <w:pPr>
        <w:tabs>
          <w:tab w:val="left" w:pos="7245"/>
        </w:tabs>
        <w:jc w:val="both"/>
        <w:rPr>
          <w:color w:val="FF0000"/>
          <w:szCs w:val="24"/>
        </w:rPr>
      </w:pPr>
    </w:p>
    <w:p w14:paraId="3972EA4C" w14:textId="77777777" w:rsidR="008470E0" w:rsidRPr="00340394" w:rsidRDefault="008470E0" w:rsidP="008470E0">
      <w:pPr>
        <w:pStyle w:val="Heading4"/>
        <w:jc w:val="both"/>
        <w:rPr>
          <w:szCs w:val="24"/>
        </w:rPr>
      </w:pPr>
      <w:r w:rsidRPr="00150E56">
        <w:rPr>
          <w:bCs/>
          <w:szCs w:val="24"/>
        </w:rPr>
        <w:t>8.0</w:t>
      </w:r>
      <w:r w:rsidRPr="00340394">
        <w:rPr>
          <w:szCs w:val="24"/>
        </w:rPr>
        <w:t xml:space="preserve">    Environmental Implications</w:t>
      </w:r>
    </w:p>
    <w:p w14:paraId="08933FE7" w14:textId="77777777" w:rsidR="008470E0" w:rsidRPr="00340394" w:rsidRDefault="008470E0" w:rsidP="008470E0">
      <w:pPr>
        <w:jc w:val="both"/>
        <w:rPr>
          <w:iCs/>
          <w:szCs w:val="24"/>
        </w:rPr>
      </w:pPr>
    </w:p>
    <w:p w14:paraId="14072FAD" w14:textId="77777777" w:rsidR="008470E0" w:rsidRPr="00340394" w:rsidRDefault="008470E0" w:rsidP="008470E0">
      <w:pPr>
        <w:jc w:val="both"/>
        <w:rPr>
          <w:szCs w:val="24"/>
        </w:rPr>
      </w:pPr>
      <w:r w:rsidRPr="00340394">
        <w:rPr>
          <w:szCs w:val="24"/>
        </w:rPr>
        <w:t xml:space="preserve">         There is no direct environmental impact.</w:t>
      </w:r>
    </w:p>
    <w:p w14:paraId="72BCC082" w14:textId="77777777" w:rsidR="008470E0" w:rsidRPr="00340394" w:rsidRDefault="008470E0" w:rsidP="008470E0">
      <w:pPr>
        <w:jc w:val="both"/>
        <w:rPr>
          <w:szCs w:val="24"/>
        </w:rPr>
      </w:pPr>
    </w:p>
    <w:p w14:paraId="4E323210" w14:textId="77777777" w:rsidR="008470E0" w:rsidRPr="008470E0" w:rsidRDefault="008470E0" w:rsidP="008470E0">
      <w:pPr>
        <w:pStyle w:val="Heading2"/>
        <w:ind w:left="567" w:hanging="567"/>
        <w:jc w:val="both"/>
        <w:rPr>
          <w:rFonts w:ascii="Arial" w:hAnsi="Arial"/>
          <w:bCs w:val="0"/>
          <w:sz w:val="24"/>
          <w:szCs w:val="24"/>
        </w:rPr>
      </w:pPr>
      <w:r w:rsidRPr="00150E56">
        <w:rPr>
          <w:rFonts w:ascii="Arial" w:hAnsi="Arial"/>
          <w:bCs w:val="0"/>
          <w:sz w:val="24"/>
          <w:szCs w:val="24"/>
        </w:rPr>
        <w:t>9.0</w:t>
      </w:r>
      <w:r w:rsidRPr="00340394">
        <w:rPr>
          <w:sz w:val="24"/>
          <w:szCs w:val="24"/>
        </w:rPr>
        <w:tab/>
      </w:r>
      <w:r w:rsidRPr="008470E0">
        <w:rPr>
          <w:rFonts w:ascii="Arial" w:hAnsi="Arial"/>
          <w:bCs w:val="0"/>
          <w:sz w:val="24"/>
          <w:szCs w:val="24"/>
        </w:rPr>
        <w:t>Risk Management Implications</w:t>
      </w:r>
    </w:p>
    <w:p w14:paraId="76B76CF2" w14:textId="77777777" w:rsidR="008470E0" w:rsidRPr="008470E0" w:rsidRDefault="008470E0" w:rsidP="008470E0">
      <w:pPr>
        <w:pStyle w:val="Heading4"/>
        <w:jc w:val="both"/>
        <w:rPr>
          <w:szCs w:val="24"/>
        </w:rPr>
      </w:pPr>
    </w:p>
    <w:p w14:paraId="75DB77A6" w14:textId="77777777" w:rsidR="008470E0" w:rsidRPr="00340394" w:rsidRDefault="008470E0" w:rsidP="008470E0">
      <w:pPr>
        <w:tabs>
          <w:tab w:val="left" w:pos="5610"/>
        </w:tabs>
        <w:ind w:left="567" w:right="81"/>
      </w:pPr>
      <w:r w:rsidRPr="00340394">
        <w:rPr>
          <w:rFonts w:cs="Arial"/>
          <w:szCs w:val="24"/>
          <w:lang w:val="en-US"/>
        </w:rPr>
        <w:t xml:space="preserve">Risks included on corporate or directorate risk register? </w:t>
      </w:r>
      <w:r w:rsidRPr="00340394">
        <w:rPr>
          <w:rFonts w:cs="Arial"/>
          <w:b/>
          <w:bCs/>
          <w:szCs w:val="24"/>
          <w:lang w:val="en-US"/>
        </w:rPr>
        <w:t>Yes</w:t>
      </w:r>
    </w:p>
    <w:p w14:paraId="7F89FF55" w14:textId="77777777" w:rsidR="008470E0" w:rsidRPr="00340394" w:rsidRDefault="008470E0" w:rsidP="008470E0">
      <w:pPr>
        <w:ind w:left="567" w:right="141"/>
        <w:rPr>
          <w:rFonts w:cs="Arial"/>
          <w:szCs w:val="24"/>
          <w:lang w:val="en-US" w:eastAsia="en-GB"/>
        </w:rPr>
      </w:pPr>
      <w:r w:rsidRPr="00340394">
        <w:rPr>
          <w:rFonts w:cs="Arial"/>
          <w:szCs w:val="24"/>
          <w:lang w:val="en-US" w:eastAsia="en-GB"/>
        </w:rPr>
        <w:t xml:space="preserve">  </w:t>
      </w:r>
    </w:p>
    <w:p w14:paraId="6C154C99" w14:textId="77777777" w:rsidR="008470E0" w:rsidRPr="00340394" w:rsidRDefault="008470E0" w:rsidP="008470E0">
      <w:pPr>
        <w:ind w:left="567" w:right="141"/>
        <w:rPr>
          <w:rFonts w:cs="Arial"/>
          <w:szCs w:val="24"/>
          <w:lang w:val="en-US" w:eastAsia="en-GB"/>
        </w:rPr>
      </w:pPr>
      <w:r w:rsidRPr="00340394">
        <w:rPr>
          <w:rFonts w:cs="Arial"/>
          <w:szCs w:val="24"/>
          <w:lang w:val="en-US" w:eastAsia="en-GB"/>
        </w:rPr>
        <w:t xml:space="preserve">Separate risk register in place? </w:t>
      </w:r>
      <w:r w:rsidRPr="00340394">
        <w:rPr>
          <w:rFonts w:cs="Arial"/>
          <w:b/>
          <w:bCs/>
          <w:szCs w:val="24"/>
          <w:lang w:val="en-US" w:eastAsia="en-GB"/>
        </w:rPr>
        <w:t>No</w:t>
      </w:r>
    </w:p>
    <w:p w14:paraId="08287901" w14:textId="77777777" w:rsidR="008470E0" w:rsidRPr="00340394" w:rsidRDefault="008470E0" w:rsidP="008470E0">
      <w:pPr>
        <w:tabs>
          <w:tab w:val="left" w:pos="5610"/>
        </w:tabs>
        <w:ind w:left="567" w:right="81"/>
      </w:pPr>
    </w:p>
    <w:p w14:paraId="13B6D2BD" w14:textId="77777777" w:rsidR="008470E0" w:rsidRPr="00340394" w:rsidRDefault="008470E0" w:rsidP="008470E0">
      <w:pPr>
        <w:tabs>
          <w:tab w:val="left" w:pos="5610"/>
        </w:tabs>
        <w:ind w:left="567" w:right="81"/>
      </w:pPr>
      <w:r w:rsidRPr="00340394">
        <w:t xml:space="preserve">The relevant risks contained in the register are attached/summarised below. </w:t>
      </w:r>
      <w:r w:rsidRPr="00340394">
        <w:rPr>
          <w:rFonts w:cs="Arial"/>
          <w:b/>
          <w:bCs/>
          <w:szCs w:val="24"/>
          <w:lang w:val="en-US" w:eastAsia="en-GB"/>
        </w:rPr>
        <w:t>Yes</w:t>
      </w:r>
    </w:p>
    <w:p w14:paraId="67BF590D" w14:textId="77777777" w:rsidR="008470E0" w:rsidRPr="00340394" w:rsidRDefault="008470E0" w:rsidP="008470E0">
      <w:pPr>
        <w:ind w:left="-567"/>
      </w:pPr>
    </w:p>
    <w:p w14:paraId="32C830FF" w14:textId="77777777" w:rsidR="008470E0" w:rsidRPr="00340394" w:rsidRDefault="008470E0" w:rsidP="008470E0">
      <w:pPr>
        <w:ind w:left="567"/>
        <w:jc w:val="both"/>
      </w:pPr>
      <w:r w:rsidRPr="00340394">
        <w:t>The following key risks should be taken onto account when agreeing the recommendations in this report:</w:t>
      </w:r>
    </w:p>
    <w:p w14:paraId="450C8858" w14:textId="77777777" w:rsidR="008470E0" w:rsidRPr="00C6595B" w:rsidRDefault="008470E0" w:rsidP="008470E0">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8470E0" w:rsidRPr="00D43818" w14:paraId="7B729E0A"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76C6B" w14:textId="77777777" w:rsidR="008470E0" w:rsidRPr="004674C1" w:rsidRDefault="008470E0" w:rsidP="004B4AC2">
            <w:pPr>
              <w:ind w:left="34" w:right="141"/>
              <w:rPr>
                <w:rFonts w:cs="Arial"/>
                <w:b/>
                <w:bCs/>
                <w:sz w:val="20"/>
                <w:lang w:val="en-US" w:eastAsia="en-GB"/>
              </w:rPr>
            </w:pPr>
            <w:r w:rsidRPr="004674C1">
              <w:rPr>
                <w:rFonts w:cs="Arial"/>
                <w:b/>
                <w:bCs/>
                <w:sz w:val="20"/>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6ED2F" w14:textId="77777777" w:rsidR="008470E0" w:rsidRPr="004674C1" w:rsidRDefault="008470E0" w:rsidP="004B4AC2">
            <w:pPr>
              <w:ind w:right="141" w:hanging="2"/>
              <w:rPr>
                <w:rFonts w:cs="Arial"/>
                <w:b/>
                <w:bCs/>
                <w:sz w:val="20"/>
                <w:lang w:val="en-US" w:eastAsia="en-GB"/>
              </w:rPr>
            </w:pPr>
            <w:r w:rsidRPr="004674C1">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A5F345" w14:textId="77777777" w:rsidR="008470E0" w:rsidRPr="004674C1" w:rsidRDefault="008470E0" w:rsidP="004B4AC2">
            <w:pPr>
              <w:ind w:left="567" w:right="141"/>
              <w:jc w:val="center"/>
              <w:rPr>
                <w:rFonts w:cs="Arial"/>
                <w:b/>
                <w:bCs/>
                <w:sz w:val="20"/>
                <w:lang w:val="en-US" w:eastAsia="en-GB"/>
              </w:rPr>
            </w:pPr>
            <w:r w:rsidRPr="004674C1">
              <w:rPr>
                <w:rFonts w:cs="Arial"/>
                <w:b/>
                <w:bCs/>
                <w:sz w:val="20"/>
                <w:lang w:val="en-US" w:eastAsia="en-GB"/>
              </w:rPr>
              <w:t xml:space="preserve">RAG Status </w:t>
            </w:r>
          </w:p>
        </w:tc>
      </w:tr>
      <w:tr w:rsidR="008470E0" w:rsidRPr="00D43818" w14:paraId="441C0BAF"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EF20" w14:textId="77777777" w:rsidR="008470E0" w:rsidRPr="00872667" w:rsidRDefault="008470E0" w:rsidP="004B4AC2">
            <w:pPr>
              <w:ind w:left="34" w:right="141"/>
              <w:rPr>
                <w:rFonts w:cs="Arial"/>
                <w:sz w:val="20"/>
                <w:lang w:val="en-US" w:eastAsia="en-GB"/>
              </w:rPr>
            </w:pPr>
            <w:r w:rsidRPr="00872667">
              <w:rPr>
                <w:rFonts w:cs="Arial"/>
                <w:sz w:val="20"/>
                <w:lang w:val="en-US" w:eastAsia="en-GB"/>
              </w:rPr>
              <w:t xml:space="preserve">Additions to the capital </w:t>
            </w:r>
            <w:proofErr w:type="spellStart"/>
            <w:r w:rsidRPr="00872667">
              <w:rPr>
                <w:rFonts w:cs="Arial"/>
                <w:sz w:val="20"/>
                <w:lang w:val="en-US" w:eastAsia="en-GB"/>
              </w:rPr>
              <w:t>programme</w:t>
            </w:r>
            <w:proofErr w:type="spellEnd"/>
            <w:r w:rsidRPr="00872667">
              <w:rPr>
                <w:rFonts w:cs="Arial"/>
                <w:sz w:val="20"/>
                <w:lang w:val="en-US" w:eastAsia="en-GB"/>
              </w:rPr>
              <w:t xml:space="preserve"> that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8475" w14:textId="7585502A" w:rsidR="008470E0" w:rsidRPr="00872667"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872667">
              <w:rPr>
                <w:rFonts w:cs="Arial"/>
                <w:sz w:val="20"/>
                <w:lang w:val="en-US" w:eastAsia="en-GB"/>
              </w:rPr>
              <w:t>Funded by additional grants thus no additional capital financing costs will be incurred by the Council’s general fund budget</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00D2A48"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tr w:rsidR="008470E0" w:rsidRPr="00D43818" w14:paraId="4C0AC30E"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91869" w14:textId="77777777" w:rsidR="008470E0" w:rsidRPr="006D1A86" w:rsidRDefault="008470E0" w:rsidP="004B4AC2">
            <w:pPr>
              <w:ind w:left="34" w:right="141"/>
              <w:rPr>
                <w:rFonts w:cs="Arial"/>
                <w:sz w:val="20"/>
                <w:lang w:val="en-US" w:eastAsia="en-GB"/>
              </w:rPr>
            </w:pPr>
            <w:r w:rsidRPr="006D1A86">
              <w:rPr>
                <w:rFonts w:cs="Arial"/>
                <w:sz w:val="20"/>
                <w:lang w:val="en-US" w:eastAsia="en-GB"/>
              </w:rPr>
              <w:t>Failure to deliver the budget on target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33D6" w14:textId="03C746DC"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6D1A86">
              <w:rPr>
                <w:rFonts w:cs="Arial"/>
                <w:sz w:val="20"/>
                <w:lang w:val="en-US" w:eastAsia="en-GB"/>
              </w:rPr>
              <w:t>At Q</w:t>
            </w:r>
            <w:r w:rsidR="000D0DD2">
              <w:rPr>
                <w:rFonts w:cs="Arial"/>
                <w:sz w:val="20"/>
                <w:lang w:val="en-US" w:eastAsia="en-GB"/>
              </w:rPr>
              <w:t>2</w:t>
            </w:r>
            <w:r w:rsidRPr="006D1A86">
              <w:rPr>
                <w:rFonts w:cs="Arial"/>
                <w:sz w:val="20"/>
                <w:lang w:val="en-US" w:eastAsia="en-GB"/>
              </w:rPr>
              <w:t xml:space="preserve"> the council can broadly manage a balanced budget, reporting a small overspend of £</w:t>
            </w:r>
            <w:r w:rsidR="000D0DD2">
              <w:rPr>
                <w:rFonts w:cs="Arial"/>
                <w:sz w:val="20"/>
                <w:lang w:val="en-US" w:eastAsia="en-GB"/>
              </w:rPr>
              <w:t>101</w:t>
            </w:r>
            <w:r w:rsidRPr="006D1A86">
              <w:rPr>
                <w:rFonts w:cs="Arial"/>
                <w:sz w:val="20"/>
                <w:lang w:val="en-US" w:eastAsia="en-GB"/>
              </w:rPr>
              <w:t>k</w:t>
            </w:r>
            <w:r w:rsidR="000D0DD2">
              <w:rPr>
                <w:rFonts w:cs="Arial"/>
                <w:sz w:val="20"/>
                <w:lang w:val="en-US" w:eastAsia="en-GB"/>
              </w:rPr>
              <w:t xml:space="preserve"> which has reduced from £641k reported at Q1</w:t>
            </w:r>
            <w:r w:rsidRPr="006D1A86">
              <w:rPr>
                <w:rFonts w:cs="Arial"/>
                <w:sz w:val="20"/>
                <w:lang w:val="en-US" w:eastAsia="en-GB"/>
              </w:rPr>
              <w:t>.</w:t>
            </w:r>
          </w:p>
          <w:p w14:paraId="53135B5B" w14:textId="77777777"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Pr>
                <w:rFonts w:cs="Arial"/>
                <w:sz w:val="20"/>
                <w:lang w:val="en-US" w:eastAsia="en-GB"/>
              </w:rPr>
              <w:t>It is anticipated that by the end of the year this can be contained within budget through c</w:t>
            </w:r>
            <w:r w:rsidRPr="006D1A86">
              <w:rPr>
                <w:rFonts w:cs="Arial"/>
                <w:sz w:val="20"/>
                <w:lang w:val="en-US" w:eastAsia="en-GB"/>
              </w:rPr>
              <w:t xml:space="preserve">ontinued robust budget monitoring </w:t>
            </w:r>
            <w:r>
              <w:rPr>
                <w:rFonts w:cs="Arial"/>
                <w:sz w:val="20"/>
                <w:lang w:val="en-US" w:eastAsia="en-GB"/>
              </w:rPr>
              <w:t>and challenge.</w:t>
            </w:r>
            <w:r w:rsidRPr="006D1A86">
              <w:rPr>
                <w:rFonts w:cs="Arial"/>
                <w:sz w:val="20"/>
                <w:lang w:val="en-US" w:eastAsia="en-GB"/>
              </w:rP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8A48EE6"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tr w:rsidR="008470E0" w:rsidRPr="00D43818" w14:paraId="074B97E3"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BE16" w14:textId="491F429B" w:rsidR="008470E0" w:rsidRPr="006D1A86" w:rsidRDefault="008470E0" w:rsidP="004B4AC2">
            <w:pPr>
              <w:ind w:left="34" w:right="141"/>
              <w:rPr>
                <w:rFonts w:cs="Arial"/>
                <w:sz w:val="20"/>
                <w:lang w:val="en-US" w:eastAsia="en-GB"/>
              </w:rPr>
            </w:pPr>
            <w:bookmarkStart w:id="9" w:name="_Hlk88812717"/>
            <w:r w:rsidRPr="006D1A86">
              <w:rPr>
                <w:rFonts w:cs="Arial"/>
                <w:sz w:val="20"/>
                <w:lang w:val="en-US" w:eastAsia="en-GB"/>
              </w:rPr>
              <w:t>Trading companies’ failure to deliver required contribution to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9337D" w14:textId="465BB77F" w:rsidR="003E6B6E" w:rsidRDefault="003E6B6E" w:rsidP="008470E0">
            <w:pPr>
              <w:pStyle w:val="ListParagraph"/>
              <w:numPr>
                <w:ilvl w:val="0"/>
                <w:numId w:val="1"/>
              </w:numPr>
              <w:suppressAutoHyphens/>
              <w:autoSpaceDN w:val="0"/>
              <w:ind w:left="0" w:right="141" w:firstLine="423"/>
              <w:textAlignment w:val="baseline"/>
              <w:rPr>
                <w:rFonts w:cs="Arial"/>
                <w:sz w:val="20"/>
                <w:lang w:val="en-US" w:eastAsia="en-GB"/>
              </w:rPr>
            </w:pPr>
            <w:r>
              <w:rPr>
                <w:rFonts w:cs="Arial"/>
                <w:sz w:val="20"/>
                <w:lang w:val="en-US" w:eastAsia="en-GB"/>
              </w:rPr>
              <w:t>Income target reprofiled over four years rather than three</w:t>
            </w:r>
          </w:p>
          <w:p w14:paraId="479B612C" w14:textId="648D0255" w:rsidR="003E6B6E" w:rsidRDefault="003E6B6E" w:rsidP="008470E0">
            <w:pPr>
              <w:pStyle w:val="ListParagraph"/>
              <w:numPr>
                <w:ilvl w:val="0"/>
                <w:numId w:val="1"/>
              </w:numPr>
              <w:suppressAutoHyphens/>
              <w:autoSpaceDN w:val="0"/>
              <w:ind w:left="0" w:right="141" w:firstLine="423"/>
              <w:textAlignment w:val="baseline"/>
              <w:rPr>
                <w:rFonts w:cs="Arial"/>
                <w:sz w:val="20"/>
                <w:lang w:val="en-US" w:eastAsia="en-GB"/>
              </w:rPr>
            </w:pPr>
            <w:r>
              <w:rPr>
                <w:rFonts w:cs="Arial"/>
                <w:sz w:val="20"/>
                <w:lang w:val="en-US" w:eastAsia="en-GB"/>
              </w:rPr>
              <w:t xml:space="preserve">Impact of reprofiling on 2021-22 </w:t>
            </w:r>
            <w:r w:rsidR="002F3E9F">
              <w:rPr>
                <w:rFonts w:cs="Arial"/>
                <w:sz w:val="20"/>
                <w:lang w:val="en-US" w:eastAsia="en-GB"/>
              </w:rPr>
              <w:t xml:space="preserve">budget </w:t>
            </w:r>
            <w:r>
              <w:rPr>
                <w:rFonts w:cs="Arial"/>
                <w:sz w:val="20"/>
                <w:lang w:val="en-US" w:eastAsia="en-GB"/>
              </w:rPr>
              <w:t>is already assumed in overall forecast at Q2</w:t>
            </w:r>
          </w:p>
          <w:p w14:paraId="492E2F34" w14:textId="567C80FF"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6D1A86">
              <w:rPr>
                <w:rFonts w:cs="Arial"/>
                <w:sz w:val="20"/>
                <w:lang w:val="en-US" w:eastAsia="en-GB"/>
              </w:rPr>
              <w:t>Quarterly stakeholder groups</w:t>
            </w:r>
          </w:p>
          <w:p w14:paraId="0BD5B63C" w14:textId="77777777"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6D1A86">
              <w:rPr>
                <w:rFonts w:cs="Arial"/>
                <w:sz w:val="20"/>
                <w:lang w:val="en-US" w:eastAsia="en-GB"/>
              </w:rPr>
              <w:t>Review of financial and non-financial performance information</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0BCD532"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tr w:rsidR="00E850DA" w:rsidRPr="00D43818" w14:paraId="54A1BE0A"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2DD7D" w14:textId="7C7BFADC" w:rsidR="00E850DA" w:rsidRPr="006D1A86" w:rsidRDefault="00E850DA" w:rsidP="004B4AC2">
            <w:pPr>
              <w:ind w:left="34" w:right="141"/>
              <w:rPr>
                <w:rFonts w:cs="Arial"/>
                <w:sz w:val="20"/>
                <w:lang w:val="en-US" w:eastAsia="en-GB"/>
              </w:rPr>
            </w:pPr>
            <w:r>
              <w:rPr>
                <w:rFonts w:cs="Arial"/>
                <w:sz w:val="20"/>
                <w:lang w:val="en-US" w:eastAsia="en-GB"/>
              </w:rPr>
              <w:t>A total £1m draw down of the ICT Dynamics Budget to cover delays and to complete Phase I leaves insufficient budget to complete the project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7D149" w14:textId="7E6CAF0D" w:rsidR="00E850DA" w:rsidRDefault="00E850DA" w:rsidP="008470E0">
            <w:pPr>
              <w:pStyle w:val="ListParagraph"/>
              <w:numPr>
                <w:ilvl w:val="0"/>
                <w:numId w:val="1"/>
              </w:numPr>
              <w:suppressAutoHyphens/>
              <w:autoSpaceDN w:val="0"/>
              <w:ind w:left="0" w:right="141" w:firstLine="423"/>
              <w:textAlignment w:val="baseline"/>
              <w:rPr>
                <w:rFonts w:cs="Arial"/>
                <w:sz w:val="20"/>
                <w:lang w:val="en-US" w:eastAsia="en-GB"/>
              </w:rPr>
            </w:pPr>
            <w:r>
              <w:rPr>
                <w:rFonts w:cs="Arial"/>
                <w:sz w:val="20"/>
                <w:lang w:val="en-US" w:eastAsia="en-GB"/>
              </w:rPr>
              <w:t>The project scope will be reviewed to ensure the project comes in on budget whilst delivering as much of the additional functionality as possible.</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3D4C54C" w14:textId="76A23C83" w:rsidR="00E850DA" w:rsidRPr="006D1A86" w:rsidRDefault="00E850DA" w:rsidP="004B4AC2">
            <w:pPr>
              <w:ind w:left="567" w:right="141"/>
              <w:rPr>
                <w:rFonts w:cs="Arial"/>
                <w:sz w:val="20"/>
                <w:lang w:val="en-US" w:eastAsia="en-GB"/>
              </w:rPr>
            </w:pPr>
            <w:r>
              <w:rPr>
                <w:rFonts w:cs="Arial"/>
                <w:sz w:val="20"/>
                <w:lang w:val="en-US" w:eastAsia="en-GB"/>
              </w:rPr>
              <w:t>Green</w:t>
            </w:r>
          </w:p>
        </w:tc>
      </w:tr>
      <w:bookmarkEnd w:id="9"/>
    </w:tbl>
    <w:p w14:paraId="7A0EA632" w14:textId="17D9B6A1" w:rsidR="008470E0" w:rsidRDefault="008470E0" w:rsidP="008470E0">
      <w:pPr>
        <w:ind w:left="567"/>
        <w:jc w:val="both"/>
        <w:rPr>
          <w:color w:val="FF0000"/>
          <w:szCs w:val="24"/>
          <w:lang w:val="en-US"/>
        </w:rPr>
      </w:pPr>
    </w:p>
    <w:p w14:paraId="163FF0D5" w14:textId="77777777" w:rsidR="00D130AA" w:rsidRPr="00C6595B" w:rsidRDefault="00D130AA" w:rsidP="008470E0">
      <w:pPr>
        <w:ind w:left="567"/>
        <w:jc w:val="both"/>
        <w:rPr>
          <w:color w:val="FF0000"/>
          <w:szCs w:val="24"/>
          <w:lang w:val="en-US"/>
        </w:rPr>
      </w:pPr>
    </w:p>
    <w:p w14:paraId="1F0AB7FD" w14:textId="18D1D7DB" w:rsidR="008470E0" w:rsidRPr="00F52080" w:rsidRDefault="008470E0" w:rsidP="008470E0">
      <w:pPr>
        <w:pStyle w:val="Heading2"/>
        <w:tabs>
          <w:tab w:val="left" w:pos="567"/>
        </w:tabs>
        <w:jc w:val="both"/>
        <w:rPr>
          <w:sz w:val="24"/>
          <w:szCs w:val="24"/>
        </w:rPr>
      </w:pPr>
      <w:r w:rsidRPr="00F52080">
        <w:rPr>
          <w:b w:val="0"/>
          <w:sz w:val="24"/>
          <w:szCs w:val="24"/>
        </w:rPr>
        <w:lastRenderedPageBreak/>
        <w:t>10.0</w:t>
      </w:r>
      <w:r>
        <w:rPr>
          <w:b w:val="0"/>
          <w:sz w:val="24"/>
          <w:szCs w:val="24"/>
        </w:rPr>
        <w:t xml:space="preserve"> </w:t>
      </w:r>
      <w:r w:rsidRPr="00F52080">
        <w:rPr>
          <w:sz w:val="24"/>
          <w:szCs w:val="24"/>
        </w:rPr>
        <w:tab/>
      </w:r>
      <w:r w:rsidRPr="008470E0">
        <w:rPr>
          <w:rFonts w:ascii="Arial" w:hAnsi="Arial"/>
          <w:bCs w:val="0"/>
          <w:sz w:val="24"/>
          <w:szCs w:val="24"/>
        </w:rPr>
        <w:t>Procurement Implications</w:t>
      </w:r>
      <w:r w:rsidRPr="00F52080">
        <w:rPr>
          <w:sz w:val="24"/>
          <w:szCs w:val="24"/>
        </w:rPr>
        <w:t xml:space="preserve"> </w:t>
      </w:r>
    </w:p>
    <w:p w14:paraId="79412712" w14:textId="77777777" w:rsidR="008470E0" w:rsidRPr="00F52080" w:rsidRDefault="008470E0" w:rsidP="008470E0">
      <w:pPr>
        <w:tabs>
          <w:tab w:val="left" w:pos="567"/>
        </w:tabs>
        <w:jc w:val="both"/>
        <w:rPr>
          <w:szCs w:val="24"/>
        </w:rPr>
      </w:pPr>
    </w:p>
    <w:p w14:paraId="27B7DC53" w14:textId="72733677" w:rsidR="008470E0" w:rsidRDefault="00104ECA" w:rsidP="00104ECA">
      <w:pPr>
        <w:pStyle w:val="Heading2"/>
        <w:ind w:left="567"/>
        <w:jc w:val="both"/>
        <w:rPr>
          <w:rFonts w:ascii="Arial" w:hAnsi="Arial"/>
          <w:b w:val="0"/>
          <w:bCs w:val="0"/>
          <w:sz w:val="24"/>
          <w:szCs w:val="24"/>
        </w:rPr>
      </w:pPr>
      <w:r w:rsidRPr="00104ECA">
        <w:rPr>
          <w:rFonts w:ascii="Arial" w:hAnsi="Arial"/>
          <w:b w:val="0"/>
          <w:bCs w:val="0"/>
          <w:sz w:val="24"/>
          <w:szCs w:val="24"/>
        </w:rPr>
        <w:t>Any procurement arising from this report will be supported by the procurement team and will be undertaken compliant with the Public Contract Regulations 2015 and the Council’s Contract Procedure Rules.</w:t>
      </w:r>
    </w:p>
    <w:p w14:paraId="48FD6845" w14:textId="3C95EE6A" w:rsidR="00104ECA" w:rsidRDefault="00104ECA" w:rsidP="00104ECA"/>
    <w:p w14:paraId="5EE8400F" w14:textId="77777777" w:rsidR="00104ECA" w:rsidRPr="00104ECA" w:rsidRDefault="00104ECA" w:rsidP="00104ECA"/>
    <w:p w14:paraId="538C3504" w14:textId="73A4EAD5" w:rsidR="008470E0" w:rsidRPr="008470E0" w:rsidRDefault="008470E0" w:rsidP="008470E0">
      <w:pPr>
        <w:pStyle w:val="Heading2"/>
        <w:ind w:left="567" w:hanging="567"/>
        <w:jc w:val="both"/>
        <w:rPr>
          <w:rFonts w:ascii="Arial" w:hAnsi="Arial"/>
          <w:bCs w:val="0"/>
          <w:sz w:val="24"/>
          <w:szCs w:val="24"/>
        </w:rPr>
      </w:pPr>
      <w:r w:rsidRPr="00F52080">
        <w:rPr>
          <w:b w:val="0"/>
          <w:sz w:val="24"/>
          <w:szCs w:val="24"/>
        </w:rPr>
        <w:t>11.0</w:t>
      </w:r>
      <w:r>
        <w:rPr>
          <w:b w:val="0"/>
          <w:sz w:val="24"/>
          <w:szCs w:val="24"/>
        </w:rPr>
        <w:t xml:space="preserve"> </w:t>
      </w:r>
      <w:r w:rsidRPr="00F52080">
        <w:rPr>
          <w:sz w:val="24"/>
          <w:szCs w:val="24"/>
        </w:rPr>
        <w:tab/>
      </w:r>
      <w:r w:rsidRPr="008470E0">
        <w:rPr>
          <w:rFonts w:ascii="Arial" w:hAnsi="Arial"/>
          <w:bCs w:val="0"/>
          <w:sz w:val="24"/>
          <w:szCs w:val="24"/>
        </w:rPr>
        <w:t>Legal Implications</w:t>
      </w:r>
    </w:p>
    <w:p w14:paraId="44DAC4A0" w14:textId="77777777" w:rsidR="008470E0" w:rsidRPr="00F52080" w:rsidRDefault="008470E0" w:rsidP="008470E0">
      <w:pPr>
        <w:jc w:val="both"/>
        <w:rPr>
          <w:szCs w:val="24"/>
        </w:rPr>
      </w:pPr>
    </w:p>
    <w:p w14:paraId="17B616BA" w14:textId="77777777" w:rsidR="008470E0" w:rsidRPr="00F52080" w:rsidRDefault="008470E0" w:rsidP="008470E0">
      <w:pPr>
        <w:ind w:left="567"/>
        <w:jc w:val="both"/>
        <w:rPr>
          <w:szCs w:val="24"/>
        </w:rPr>
      </w:pPr>
      <w:r w:rsidRPr="00F52080">
        <w:rPr>
          <w:szCs w:val="24"/>
        </w:rPr>
        <w:t xml:space="preserve">Section 151 of the Local Government Act 1972 states that without prejudice to section 111, every local authority shall </w:t>
      </w:r>
      <w:proofErr w:type="gramStart"/>
      <w:r w:rsidRPr="00F52080">
        <w:rPr>
          <w:szCs w:val="24"/>
        </w:rPr>
        <w:t>make arrangements</w:t>
      </w:r>
      <w:proofErr w:type="gramEnd"/>
      <w:r w:rsidRPr="00F52080">
        <w:rPr>
          <w:szCs w:val="24"/>
        </w:rPr>
        <w:t xml:space="preserve">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3F92A6ED" w14:textId="77777777" w:rsidR="008470E0" w:rsidRPr="00F52080" w:rsidRDefault="008470E0" w:rsidP="008470E0">
      <w:pPr>
        <w:ind w:left="567"/>
        <w:jc w:val="both"/>
        <w:rPr>
          <w:szCs w:val="24"/>
        </w:rPr>
      </w:pPr>
    </w:p>
    <w:p w14:paraId="781AA544" w14:textId="0E790372" w:rsidR="008470E0" w:rsidRPr="00F52080" w:rsidRDefault="008470E0" w:rsidP="008470E0">
      <w:pPr>
        <w:ind w:left="567"/>
        <w:jc w:val="both"/>
        <w:rPr>
          <w:szCs w:val="24"/>
        </w:rPr>
      </w:pPr>
      <w:r w:rsidRPr="00F52080">
        <w:rPr>
          <w:szCs w:val="24"/>
        </w:rPr>
        <w:t xml:space="preserve">Additions to the Capital Programme are dealt with in B48 of the Financial Regulations, the additions above are within the thresholds allowed for Cabinet. </w:t>
      </w:r>
    </w:p>
    <w:p w14:paraId="3143135F" w14:textId="77777777" w:rsidR="008470E0" w:rsidRPr="00F52080" w:rsidRDefault="008470E0" w:rsidP="008470E0">
      <w:pPr>
        <w:ind w:left="567"/>
        <w:jc w:val="both"/>
        <w:rPr>
          <w:b/>
          <w:szCs w:val="24"/>
        </w:rPr>
      </w:pPr>
    </w:p>
    <w:p w14:paraId="754AEC1D" w14:textId="50AC0E14" w:rsidR="008470E0" w:rsidRPr="00F52080" w:rsidRDefault="008470E0" w:rsidP="008470E0">
      <w:pPr>
        <w:pStyle w:val="Heading2"/>
        <w:ind w:left="567" w:hanging="567"/>
        <w:jc w:val="both"/>
        <w:rPr>
          <w:sz w:val="24"/>
          <w:szCs w:val="24"/>
        </w:rPr>
      </w:pPr>
      <w:r w:rsidRPr="00F52080">
        <w:rPr>
          <w:b w:val="0"/>
          <w:sz w:val="24"/>
          <w:szCs w:val="24"/>
        </w:rPr>
        <w:t>12.0</w:t>
      </w:r>
      <w:r w:rsidRPr="00F52080">
        <w:rPr>
          <w:sz w:val="24"/>
          <w:szCs w:val="24"/>
        </w:rPr>
        <w:tab/>
      </w:r>
      <w:r>
        <w:rPr>
          <w:sz w:val="24"/>
          <w:szCs w:val="24"/>
        </w:rPr>
        <w:t xml:space="preserve"> </w:t>
      </w:r>
      <w:r w:rsidRPr="008470E0">
        <w:rPr>
          <w:rFonts w:ascii="Arial" w:hAnsi="Arial"/>
          <w:bCs w:val="0"/>
          <w:sz w:val="24"/>
          <w:szCs w:val="24"/>
        </w:rPr>
        <w:t>Financial Implications</w:t>
      </w:r>
    </w:p>
    <w:p w14:paraId="5651151C" w14:textId="77777777" w:rsidR="008470E0" w:rsidRPr="00F52080" w:rsidRDefault="008470E0" w:rsidP="008470E0">
      <w:pPr>
        <w:tabs>
          <w:tab w:val="left" w:pos="709"/>
        </w:tabs>
        <w:ind w:left="567" w:hanging="567"/>
        <w:jc w:val="both"/>
        <w:rPr>
          <w:szCs w:val="24"/>
        </w:rPr>
      </w:pPr>
      <w:r w:rsidRPr="00F52080">
        <w:rPr>
          <w:szCs w:val="24"/>
        </w:rPr>
        <w:tab/>
        <w:t>Financial matters are integral to this report.</w:t>
      </w:r>
    </w:p>
    <w:p w14:paraId="7FA3C7AF" w14:textId="77777777" w:rsidR="008470E0" w:rsidRPr="00F52080" w:rsidRDefault="008470E0" w:rsidP="008470E0">
      <w:pPr>
        <w:pStyle w:val="Heading2"/>
        <w:jc w:val="both"/>
        <w:rPr>
          <w:sz w:val="24"/>
          <w:szCs w:val="24"/>
        </w:rPr>
      </w:pPr>
    </w:p>
    <w:p w14:paraId="49306FB9" w14:textId="169797ED" w:rsidR="008470E0" w:rsidRPr="00F52080" w:rsidRDefault="008470E0" w:rsidP="008470E0">
      <w:pPr>
        <w:pStyle w:val="Heading2"/>
        <w:keepNext/>
        <w:ind w:left="567" w:hanging="567"/>
        <w:jc w:val="both"/>
        <w:rPr>
          <w:sz w:val="24"/>
          <w:szCs w:val="24"/>
        </w:rPr>
      </w:pPr>
      <w:r w:rsidRPr="00F52080">
        <w:rPr>
          <w:b w:val="0"/>
          <w:sz w:val="24"/>
          <w:szCs w:val="24"/>
        </w:rPr>
        <w:t>13.0</w:t>
      </w:r>
      <w:r w:rsidRPr="00F52080">
        <w:rPr>
          <w:sz w:val="24"/>
          <w:szCs w:val="24"/>
        </w:rPr>
        <w:tab/>
      </w:r>
      <w:r>
        <w:rPr>
          <w:sz w:val="24"/>
          <w:szCs w:val="24"/>
        </w:rPr>
        <w:t xml:space="preserve"> </w:t>
      </w:r>
      <w:r w:rsidRPr="008470E0">
        <w:rPr>
          <w:rFonts w:ascii="Arial" w:hAnsi="Arial"/>
          <w:bCs w:val="0"/>
          <w:sz w:val="24"/>
          <w:szCs w:val="24"/>
        </w:rPr>
        <w:t>Equalities implications / Public Sector Equality Duty</w:t>
      </w:r>
    </w:p>
    <w:p w14:paraId="623ADC74" w14:textId="77777777" w:rsidR="008470E0" w:rsidRPr="00F52080" w:rsidRDefault="008470E0" w:rsidP="008470E0">
      <w:pPr>
        <w:ind w:left="567" w:hanging="567"/>
      </w:pPr>
    </w:p>
    <w:p w14:paraId="07283C97" w14:textId="77777777" w:rsidR="008470E0" w:rsidRPr="00F52080" w:rsidRDefault="008470E0" w:rsidP="008470E0">
      <w:pPr>
        <w:ind w:left="567" w:hanging="567"/>
      </w:pPr>
      <w:r w:rsidRPr="00F52080">
        <w:t>13.1 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2DA9164B" w14:textId="77777777" w:rsidR="008470E0" w:rsidRPr="00F52080" w:rsidRDefault="008470E0" w:rsidP="008470E0">
      <w:pPr>
        <w:ind w:left="567" w:hanging="567"/>
      </w:pPr>
    </w:p>
    <w:p w14:paraId="4AC8FFE1" w14:textId="77777777" w:rsidR="008470E0" w:rsidRPr="00F52080" w:rsidRDefault="008470E0" w:rsidP="008470E0">
      <w:pPr>
        <w:ind w:left="567" w:hanging="567"/>
      </w:pPr>
      <w:r w:rsidRPr="00F52080">
        <w:t>13.2 A public authority must, in the exercise of its functions, have due regard to the need to:</w:t>
      </w:r>
    </w:p>
    <w:p w14:paraId="1C0D4344" w14:textId="77777777" w:rsidR="008470E0" w:rsidRPr="00F52080" w:rsidRDefault="008470E0" w:rsidP="008470E0">
      <w:pPr>
        <w:ind w:left="709"/>
      </w:pPr>
    </w:p>
    <w:p w14:paraId="43DA4A17" w14:textId="77777777" w:rsidR="008470E0" w:rsidRPr="00F52080" w:rsidRDefault="008470E0" w:rsidP="008470E0">
      <w:pPr>
        <w:pStyle w:val="ListParagraph"/>
        <w:numPr>
          <w:ilvl w:val="0"/>
          <w:numId w:val="8"/>
        </w:numPr>
      </w:pPr>
      <w:r w:rsidRPr="00F52080">
        <w:t>eliminate discrimination, harassment, victimisation and any other conduct that is prohibited by or under this Act;</w:t>
      </w:r>
    </w:p>
    <w:p w14:paraId="28592BA6" w14:textId="77777777" w:rsidR="008470E0" w:rsidRPr="00F52080" w:rsidRDefault="008470E0" w:rsidP="008470E0">
      <w:pPr>
        <w:pStyle w:val="ListParagraph"/>
        <w:numPr>
          <w:ilvl w:val="0"/>
          <w:numId w:val="8"/>
        </w:numPr>
      </w:pPr>
      <w:r w:rsidRPr="00F52080">
        <w:t>advance equality of opportunity between persons who share a relevant protected characteristic and persons who do not share it;</w:t>
      </w:r>
    </w:p>
    <w:p w14:paraId="7FEC4A3B" w14:textId="77777777" w:rsidR="008470E0" w:rsidRPr="00F52080" w:rsidRDefault="008470E0" w:rsidP="008470E0">
      <w:pPr>
        <w:pStyle w:val="ListParagraph"/>
        <w:numPr>
          <w:ilvl w:val="0"/>
          <w:numId w:val="8"/>
        </w:numPr>
      </w:pPr>
      <w:r w:rsidRPr="00F52080">
        <w:t>Foster good relations between persons who share a relevant protected characteristic and persons who do not share it.</w:t>
      </w:r>
    </w:p>
    <w:p w14:paraId="26E8ABDA" w14:textId="77777777" w:rsidR="008470E0" w:rsidRPr="00F52080" w:rsidRDefault="008470E0" w:rsidP="008470E0">
      <w:pPr>
        <w:pStyle w:val="ListParagraph"/>
        <w:ind w:left="1429"/>
      </w:pPr>
    </w:p>
    <w:p w14:paraId="47158BC2" w14:textId="77777777" w:rsidR="008470E0" w:rsidRPr="00F52080" w:rsidRDefault="008470E0" w:rsidP="008470E0">
      <w:pPr>
        <w:ind w:left="720" w:hanging="720"/>
      </w:pPr>
      <w:r w:rsidRPr="00F52080">
        <w:t>13.2</w:t>
      </w:r>
      <w:r w:rsidRPr="00F52080">
        <w:tab/>
        <w:t xml:space="preserve">Having due regard to the need to advance equality of opportunity between persons who share a relevant protected characteristic and </w:t>
      </w:r>
      <w:r w:rsidRPr="00F52080">
        <w:lastRenderedPageBreak/>
        <w:t>persons who do not share it involves having due regard, in particular, to the need to:</w:t>
      </w:r>
    </w:p>
    <w:p w14:paraId="209F68D8" w14:textId="77777777" w:rsidR="008470E0" w:rsidRPr="00F52080" w:rsidRDefault="008470E0" w:rsidP="008470E0">
      <w:pPr>
        <w:ind w:left="709"/>
      </w:pPr>
    </w:p>
    <w:p w14:paraId="1E85F85E" w14:textId="77777777" w:rsidR="008470E0" w:rsidRPr="00F52080" w:rsidRDefault="008470E0" w:rsidP="008470E0">
      <w:pPr>
        <w:pStyle w:val="ListParagraph"/>
        <w:numPr>
          <w:ilvl w:val="0"/>
          <w:numId w:val="9"/>
        </w:numPr>
      </w:pPr>
      <w:r w:rsidRPr="00F52080">
        <w:t>remove or minimise disadvantages suffered by persons who share a relevant protected characteristic that are connected to that characteristic;</w:t>
      </w:r>
    </w:p>
    <w:p w14:paraId="1495F615" w14:textId="77777777" w:rsidR="008470E0" w:rsidRPr="00F52080" w:rsidRDefault="008470E0" w:rsidP="008470E0">
      <w:pPr>
        <w:pStyle w:val="ListParagraph"/>
        <w:numPr>
          <w:ilvl w:val="0"/>
          <w:numId w:val="9"/>
        </w:numPr>
      </w:pPr>
      <w:r w:rsidRPr="00F52080">
        <w:t>take steps to meet the needs of persons who share a relevant protected characteristic that are different from the needs of persons who do not share it;</w:t>
      </w:r>
    </w:p>
    <w:p w14:paraId="580E457D" w14:textId="77777777" w:rsidR="008470E0" w:rsidRPr="00F52080" w:rsidRDefault="008470E0" w:rsidP="008470E0">
      <w:pPr>
        <w:pStyle w:val="ListParagraph"/>
        <w:numPr>
          <w:ilvl w:val="0"/>
          <w:numId w:val="9"/>
        </w:numPr>
      </w:pPr>
      <w:r w:rsidRPr="00F52080">
        <w:t>Encourage persons who share a relevant protected characteristic to participate in public life or in any other activity in which participation by such persons is disproportionately low.</w:t>
      </w:r>
    </w:p>
    <w:p w14:paraId="368CBFA7" w14:textId="77777777" w:rsidR="008470E0" w:rsidRPr="00F52080" w:rsidRDefault="008470E0" w:rsidP="008470E0">
      <w:pPr>
        <w:ind w:left="1418"/>
      </w:pPr>
      <w:r w:rsidRPr="00F52080">
        <w:t>The steps involved in meeting the needs of disabled persons that are different from the needs of persons who are not disabled include, in particular, steps to take account of disabled persons’ disabilities.</w:t>
      </w:r>
    </w:p>
    <w:p w14:paraId="50A12B14" w14:textId="77777777" w:rsidR="008470E0" w:rsidRPr="00F52080" w:rsidRDefault="008470E0" w:rsidP="008470E0">
      <w:pPr>
        <w:ind w:left="1418"/>
      </w:pPr>
      <w:r w:rsidRPr="00F52080">
        <w:t>Having due regard to the need to foster good relations between persons who share a relevant protected characteristic and persons who do not share it involves having due regard, in particular, to the need to:</w:t>
      </w:r>
    </w:p>
    <w:p w14:paraId="51FE8E0F" w14:textId="77777777" w:rsidR="008470E0" w:rsidRPr="00F52080" w:rsidRDefault="008470E0" w:rsidP="008470E0">
      <w:pPr>
        <w:pStyle w:val="ListParagraph"/>
        <w:numPr>
          <w:ilvl w:val="0"/>
          <w:numId w:val="11"/>
        </w:numPr>
      </w:pPr>
      <w:r w:rsidRPr="00F52080">
        <w:t>Tackle prejudice, and</w:t>
      </w:r>
    </w:p>
    <w:p w14:paraId="2D9CAF97" w14:textId="77777777" w:rsidR="008470E0" w:rsidRPr="00F52080" w:rsidRDefault="008470E0" w:rsidP="008470E0">
      <w:pPr>
        <w:pStyle w:val="ListParagraph"/>
        <w:numPr>
          <w:ilvl w:val="0"/>
          <w:numId w:val="10"/>
        </w:numPr>
      </w:pPr>
      <w:r w:rsidRPr="00F52080">
        <w:t>Promote understanding.</w:t>
      </w:r>
    </w:p>
    <w:p w14:paraId="6F08FB09" w14:textId="77777777" w:rsidR="008470E0" w:rsidRPr="00F52080" w:rsidRDefault="008470E0" w:rsidP="008470E0">
      <w:pPr>
        <w:pStyle w:val="ListParagraph"/>
        <w:ind w:left="1429"/>
      </w:pPr>
    </w:p>
    <w:p w14:paraId="4693778A" w14:textId="77777777" w:rsidR="008470E0" w:rsidRPr="00F52080" w:rsidRDefault="008470E0" w:rsidP="008470E0">
      <w:pPr>
        <w:ind w:left="720" w:hanging="720"/>
      </w:pPr>
      <w:r w:rsidRPr="00F52080">
        <w:t>13.3</w:t>
      </w:r>
      <w:r w:rsidRPr="00F52080">
        <w:tab/>
        <w:t>Compliance with the duties in this section may involve treating some persons more favourably than others; but that is not to be taken as permitting conduct that would otherwise be prohibited by or under this Act. The relevant protected characteristics are:</w:t>
      </w:r>
    </w:p>
    <w:p w14:paraId="225DB8EF" w14:textId="77777777" w:rsidR="008470E0" w:rsidRPr="00F52080" w:rsidRDefault="008470E0" w:rsidP="008470E0">
      <w:pPr>
        <w:ind w:left="1134"/>
      </w:pPr>
      <w:r w:rsidRPr="00F52080">
        <w:t>•</w:t>
      </w:r>
      <w:r w:rsidRPr="00F52080">
        <w:tab/>
        <w:t>Age</w:t>
      </w:r>
    </w:p>
    <w:p w14:paraId="008C6D76" w14:textId="77777777" w:rsidR="008470E0" w:rsidRPr="00F52080" w:rsidRDefault="008470E0" w:rsidP="008470E0">
      <w:pPr>
        <w:ind w:left="1134"/>
      </w:pPr>
      <w:r w:rsidRPr="00F52080">
        <w:t>•</w:t>
      </w:r>
      <w:r w:rsidRPr="00F52080">
        <w:tab/>
        <w:t>Disability</w:t>
      </w:r>
    </w:p>
    <w:p w14:paraId="26500A08" w14:textId="77777777" w:rsidR="008470E0" w:rsidRPr="00F52080" w:rsidRDefault="008470E0" w:rsidP="008470E0">
      <w:pPr>
        <w:ind w:left="1134"/>
      </w:pPr>
      <w:r w:rsidRPr="00F52080">
        <w:t>•</w:t>
      </w:r>
      <w:r w:rsidRPr="00F52080">
        <w:tab/>
        <w:t>Gender reassignment</w:t>
      </w:r>
    </w:p>
    <w:p w14:paraId="679D974B" w14:textId="77777777" w:rsidR="008470E0" w:rsidRPr="00F52080" w:rsidRDefault="008470E0" w:rsidP="008470E0">
      <w:pPr>
        <w:ind w:left="1134"/>
      </w:pPr>
      <w:r w:rsidRPr="00F52080">
        <w:t>•</w:t>
      </w:r>
      <w:r w:rsidRPr="00F52080">
        <w:tab/>
        <w:t>Pregnancy and maternity</w:t>
      </w:r>
    </w:p>
    <w:p w14:paraId="23C1FB0B" w14:textId="77777777" w:rsidR="008470E0" w:rsidRPr="00F52080" w:rsidRDefault="008470E0" w:rsidP="008470E0">
      <w:pPr>
        <w:ind w:left="1134"/>
      </w:pPr>
      <w:r w:rsidRPr="00F52080">
        <w:t>•</w:t>
      </w:r>
      <w:r w:rsidRPr="00F52080">
        <w:tab/>
        <w:t>Race,</w:t>
      </w:r>
    </w:p>
    <w:p w14:paraId="63C8883F" w14:textId="77777777" w:rsidR="008470E0" w:rsidRPr="00F52080" w:rsidRDefault="008470E0" w:rsidP="008470E0">
      <w:pPr>
        <w:ind w:left="1134"/>
      </w:pPr>
      <w:r w:rsidRPr="00F52080">
        <w:t>•</w:t>
      </w:r>
      <w:r w:rsidRPr="00F52080">
        <w:tab/>
        <w:t>Religion or belief</w:t>
      </w:r>
    </w:p>
    <w:p w14:paraId="1F1FBC05" w14:textId="77777777" w:rsidR="008470E0" w:rsidRPr="00F52080" w:rsidRDefault="008470E0" w:rsidP="008470E0">
      <w:pPr>
        <w:ind w:left="1134"/>
      </w:pPr>
      <w:r w:rsidRPr="00F52080">
        <w:t>•</w:t>
      </w:r>
      <w:r w:rsidRPr="00F52080">
        <w:tab/>
        <w:t>Sex</w:t>
      </w:r>
    </w:p>
    <w:p w14:paraId="1F7CCB35" w14:textId="77777777" w:rsidR="008470E0" w:rsidRPr="00F52080" w:rsidRDefault="008470E0" w:rsidP="008470E0">
      <w:pPr>
        <w:ind w:left="1134"/>
      </w:pPr>
      <w:r w:rsidRPr="00F52080">
        <w:t>•</w:t>
      </w:r>
      <w:r w:rsidRPr="00F52080">
        <w:tab/>
        <w:t>Sexual orientation</w:t>
      </w:r>
    </w:p>
    <w:p w14:paraId="118C7D5C" w14:textId="77777777" w:rsidR="008470E0" w:rsidRPr="00F52080" w:rsidRDefault="008470E0" w:rsidP="008470E0">
      <w:pPr>
        <w:ind w:left="1134"/>
      </w:pPr>
      <w:r w:rsidRPr="00F52080">
        <w:t>•</w:t>
      </w:r>
      <w:r w:rsidRPr="00F52080">
        <w:tab/>
        <w:t>Marriage and Civil partnership</w:t>
      </w:r>
    </w:p>
    <w:p w14:paraId="55B1E260" w14:textId="77777777" w:rsidR="008470E0" w:rsidRPr="00E41F8A" w:rsidRDefault="008470E0" w:rsidP="008470E0">
      <w:pPr>
        <w:ind w:left="709"/>
      </w:pPr>
    </w:p>
    <w:p w14:paraId="2446604F" w14:textId="77777777" w:rsidR="008470E0" w:rsidRPr="00E41F8A" w:rsidRDefault="008470E0" w:rsidP="008470E0"/>
    <w:p w14:paraId="3AE96B99" w14:textId="77777777" w:rsidR="008470E0" w:rsidRPr="00E41F8A" w:rsidRDefault="008470E0" w:rsidP="008470E0">
      <w:pPr>
        <w:rPr>
          <w:szCs w:val="24"/>
        </w:rPr>
      </w:pPr>
      <w:r w:rsidRPr="00E41F8A">
        <w:rPr>
          <w:szCs w:val="24"/>
        </w:rPr>
        <w:t>13.4</w:t>
      </w:r>
      <w:r w:rsidRPr="00E41F8A">
        <w:rPr>
          <w:szCs w:val="24"/>
        </w:rPr>
        <w:tab/>
        <w:t>Equality assessments were undertaken for the budget proposals agreed by Council listed as part of the MTFS process and an overall equality assessment was undertaken on the MTFS. There is only recommendation in this report for decision “That Cabinet approve the proposed amendments to the Capital Programme as set out in paragraphs 3.33 to 3.41” it is not considered that this will have a detrimental equalities impact.</w:t>
      </w:r>
    </w:p>
    <w:p w14:paraId="27D1AF90" w14:textId="77777777" w:rsidR="008470E0" w:rsidRPr="00E41F8A" w:rsidRDefault="008470E0" w:rsidP="008470E0">
      <w:pPr>
        <w:ind w:left="709" w:hanging="709"/>
        <w:jc w:val="both"/>
        <w:rPr>
          <w:szCs w:val="24"/>
        </w:rPr>
      </w:pPr>
    </w:p>
    <w:p w14:paraId="3248FF21" w14:textId="2E06E85F" w:rsidR="008470E0" w:rsidRDefault="008470E0" w:rsidP="008470E0">
      <w:pPr>
        <w:ind w:left="709" w:hanging="709"/>
        <w:jc w:val="both"/>
        <w:rPr>
          <w:szCs w:val="24"/>
        </w:rPr>
      </w:pPr>
      <w:r w:rsidRPr="00E41F8A">
        <w:rPr>
          <w:szCs w:val="24"/>
        </w:rPr>
        <w:t>It is not considered that this report will have any further equality implications.</w:t>
      </w:r>
    </w:p>
    <w:p w14:paraId="5A0D3D32" w14:textId="48F17D98" w:rsidR="00D130AA" w:rsidRDefault="00D130AA" w:rsidP="008470E0">
      <w:pPr>
        <w:ind w:left="709" w:hanging="709"/>
        <w:jc w:val="both"/>
        <w:rPr>
          <w:szCs w:val="24"/>
        </w:rPr>
      </w:pPr>
    </w:p>
    <w:p w14:paraId="736C0AE1" w14:textId="12EA51B4" w:rsidR="00D130AA" w:rsidRDefault="00D130AA" w:rsidP="008470E0">
      <w:pPr>
        <w:ind w:left="709" w:hanging="709"/>
        <w:jc w:val="both"/>
        <w:rPr>
          <w:szCs w:val="24"/>
        </w:rPr>
      </w:pPr>
    </w:p>
    <w:p w14:paraId="424D1286" w14:textId="21CC77FF" w:rsidR="00D130AA" w:rsidRDefault="00D130AA" w:rsidP="008470E0">
      <w:pPr>
        <w:ind w:left="709" w:hanging="709"/>
        <w:jc w:val="both"/>
        <w:rPr>
          <w:szCs w:val="24"/>
        </w:rPr>
      </w:pPr>
    </w:p>
    <w:p w14:paraId="3C2438E5" w14:textId="77777777" w:rsidR="00D130AA" w:rsidRPr="00E41F8A" w:rsidRDefault="00D130AA" w:rsidP="008470E0">
      <w:pPr>
        <w:ind w:left="709" w:hanging="709"/>
        <w:jc w:val="both"/>
        <w:rPr>
          <w:szCs w:val="24"/>
        </w:rPr>
      </w:pPr>
      <w:bookmarkStart w:id="10" w:name="_GoBack"/>
      <w:bookmarkEnd w:id="10"/>
    </w:p>
    <w:p w14:paraId="35706A55" w14:textId="77777777" w:rsidR="008470E0" w:rsidRPr="00E41F8A" w:rsidRDefault="008470E0" w:rsidP="008470E0">
      <w:pPr>
        <w:ind w:left="709"/>
        <w:jc w:val="both"/>
        <w:rPr>
          <w:szCs w:val="24"/>
        </w:rPr>
      </w:pPr>
    </w:p>
    <w:p w14:paraId="34AC1473" w14:textId="77777777" w:rsidR="008470E0" w:rsidRPr="00E41F8A" w:rsidRDefault="008470E0" w:rsidP="008470E0">
      <w:pPr>
        <w:ind w:left="709" w:hanging="709"/>
        <w:rPr>
          <w:b/>
          <w:szCs w:val="24"/>
        </w:rPr>
      </w:pPr>
      <w:r w:rsidRPr="00E41F8A">
        <w:rPr>
          <w:szCs w:val="24"/>
        </w:rPr>
        <w:lastRenderedPageBreak/>
        <w:t>14.0</w:t>
      </w:r>
      <w:r w:rsidRPr="00E41F8A">
        <w:rPr>
          <w:b/>
          <w:szCs w:val="24"/>
        </w:rPr>
        <w:tab/>
        <w:t>Council Priorities</w:t>
      </w:r>
    </w:p>
    <w:p w14:paraId="489943E3" w14:textId="77777777" w:rsidR="008470E0" w:rsidRPr="00E41F8A" w:rsidRDefault="008470E0" w:rsidP="008470E0">
      <w:pPr>
        <w:rPr>
          <w:szCs w:val="24"/>
        </w:rPr>
      </w:pPr>
    </w:p>
    <w:p w14:paraId="3ACE3993" w14:textId="77777777" w:rsidR="008470E0" w:rsidRPr="00E41F8A" w:rsidRDefault="008470E0" w:rsidP="008470E0">
      <w:pPr>
        <w:ind w:left="709"/>
        <w:rPr>
          <w:szCs w:val="24"/>
        </w:rPr>
      </w:pPr>
      <w:r w:rsidRPr="00E41F8A">
        <w:rPr>
          <w:szCs w:val="24"/>
        </w:rPr>
        <w:t>The Council’s vision:</w:t>
      </w:r>
      <w:r w:rsidRPr="00E41F8A">
        <w:rPr>
          <w:szCs w:val="24"/>
        </w:rPr>
        <w:tab/>
      </w:r>
    </w:p>
    <w:p w14:paraId="14839BA4" w14:textId="77777777" w:rsidR="008470E0" w:rsidRPr="00E41F8A" w:rsidRDefault="008470E0" w:rsidP="008470E0">
      <w:pPr>
        <w:ind w:left="709"/>
        <w:rPr>
          <w:szCs w:val="24"/>
        </w:rPr>
      </w:pPr>
    </w:p>
    <w:p w14:paraId="17F690E3" w14:textId="77777777" w:rsidR="008470E0" w:rsidRPr="00E41F8A" w:rsidRDefault="008470E0" w:rsidP="008470E0">
      <w:pPr>
        <w:ind w:left="709"/>
        <w:rPr>
          <w:szCs w:val="24"/>
        </w:rPr>
      </w:pPr>
      <w:r w:rsidRPr="00E41F8A">
        <w:rPr>
          <w:b/>
          <w:szCs w:val="24"/>
        </w:rPr>
        <w:t>Working Together to Make a Difference for Harrow</w:t>
      </w:r>
      <w:r w:rsidRPr="00E41F8A">
        <w:rPr>
          <w:szCs w:val="24"/>
        </w:rPr>
        <w:t xml:space="preserve"> </w:t>
      </w:r>
    </w:p>
    <w:p w14:paraId="692111AE" w14:textId="77777777" w:rsidR="008470E0" w:rsidRPr="00E41F8A" w:rsidRDefault="008470E0" w:rsidP="008470E0">
      <w:pPr>
        <w:ind w:left="709"/>
        <w:rPr>
          <w:szCs w:val="24"/>
        </w:rPr>
      </w:pPr>
      <w:r w:rsidRPr="00E41F8A">
        <w:rPr>
          <w:szCs w:val="24"/>
        </w:rPr>
        <w:t>This report deals with the Revenue monitoring which is key to delivering the Council’s new priorities:</w:t>
      </w:r>
    </w:p>
    <w:p w14:paraId="34B02969" w14:textId="77777777" w:rsidR="008470E0" w:rsidRPr="00E41F8A" w:rsidRDefault="008470E0" w:rsidP="008470E0">
      <w:pPr>
        <w:numPr>
          <w:ilvl w:val="0"/>
          <w:numId w:val="4"/>
        </w:numPr>
        <w:ind w:left="1418" w:hanging="284"/>
        <w:rPr>
          <w:szCs w:val="24"/>
        </w:rPr>
      </w:pPr>
      <w:r w:rsidRPr="00E41F8A">
        <w:rPr>
          <w:szCs w:val="24"/>
        </w:rPr>
        <w:t>Making a difference for the vulnerable</w:t>
      </w:r>
    </w:p>
    <w:p w14:paraId="65317BE1" w14:textId="77777777" w:rsidR="008470E0" w:rsidRPr="00E41F8A" w:rsidRDefault="008470E0" w:rsidP="008470E0">
      <w:pPr>
        <w:numPr>
          <w:ilvl w:val="0"/>
          <w:numId w:val="4"/>
        </w:numPr>
        <w:ind w:left="1418" w:hanging="284"/>
        <w:rPr>
          <w:szCs w:val="24"/>
        </w:rPr>
      </w:pPr>
      <w:r w:rsidRPr="00E41F8A">
        <w:rPr>
          <w:szCs w:val="24"/>
        </w:rPr>
        <w:t>Making a difference for communities</w:t>
      </w:r>
    </w:p>
    <w:p w14:paraId="366A65AB" w14:textId="77777777" w:rsidR="008470E0" w:rsidRPr="00F52080" w:rsidRDefault="008470E0" w:rsidP="008470E0">
      <w:pPr>
        <w:numPr>
          <w:ilvl w:val="0"/>
          <w:numId w:val="4"/>
        </w:numPr>
        <w:ind w:left="1418" w:hanging="284"/>
        <w:rPr>
          <w:szCs w:val="24"/>
        </w:rPr>
      </w:pPr>
      <w:r w:rsidRPr="00E41F8A">
        <w:rPr>
          <w:szCs w:val="24"/>
        </w:rPr>
        <w:t>Making a difference for local business’s</w:t>
      </w:r>
    </w:p>
    <w:p w14:paraId="4D8144F4" w14:textId="1FBC3C76" w:rsidR="008470E0" w:rsidRPr="00150E56" w:rsidRDefault="008470E0" w:rsidP="001B74AA">
      <w:pPr>
        <w:numPr>
          <w:ilvl w:val="0"/>
          <w:numId w:val="4"/>
        </w:numPr>
        <w:ind w:left="1418" w:hanging="284"/>
        <w:rPr>
          <w:szCs w:val="24"/>
        </w:rPr>
      </w:pPr>
      <w:r w:rsidRPr="00150E56">
        <w:rPr>
          <w:szCs w:val="24"/>
        </w:rPr>
        <w:t>Making a difference for families</w:t>
      </w:r>
    </w:p>
    <w:p w14:paraId="5514D939" w14:textId="6FCAE4D7" w:rsidR="00333FAA" w:rsidRDefault="008470E0" w:rsidP="000B7C66">
      <w:pPr>
        <w:pStyle w:val="Heading2"/>
        <w:spacing w:before="480" w:after="240"/>
      </w:pPr>
      <w:r>
        <w:t>S</w:t>
      </w:r>
      <w:r w:rsidR="00333FAA">
        <w:t>ection 3 - Statutory Officer Clearance</w:t>
      </w:r>
    </w:p>
    <w:p w14:paraId="3B5D52F9" w14:textId="735BBD03" w:rsidR="00A66326" w:rsidRPr="00A66326" w:rsidRDefault="00A66326" w:rsidP="00A66326">
      <w:pPr>
        <w:rPr>
          <w:sz w:val="28"/>
        </w:rPr>
      </w:pPr>
      <w:r w:rsidRPr="00A66326">
        <w:rPr>
          <w:b/>
          <w:sz w:val="28"/>
        </w:rPr>
        <w:t xml:space="preserve">Statutory Officer:  </w:t>
      </w:r>
      <w:r w:rsidR="008B0567">
        <w:rPr>
          <w:b/>
          <w:sz w:val="28"/>
        </w:rPr>
        <w:t>Dawn Calvert</w:t>
      </w:r>
    </w:p>
    <w:p w14:paraId="06450070" w14:textId="08B1DB8D" w:rsidR="00A66326" w:rsidRPr="00A66326" w:rsidRDefault="008B0567" w:rsidP="00A66326">
      <w:r>
        <w:t xml:space="preserve">Signed by the </w:t>
      </w:r>
      <w:r w:rsidR="00A66326" w:rsidRPr="00A66326">
        <w:t>Chief Financial Officer</w:t>
      </w:r>
    </w:p>
    <w:p w14:paraId="555021EF" w14:textId="7D611C1D" w:rsidR="00A66326" w:rsidRPr="00A66326" w:rsidRDefault="00A66326" w:rsidP="00A66326">
      <w:pPr>
        <w:spacing w:after="480"/>
        <w:rPr>
          <w:sz w:val="28"/>
        </w:rPr>
      </w:pPr>
      <w:r w:rsidRPr="00A66326">
        <w:rPr>
          <w:b/>
          <w:sz w:val="28"/>
        </w:rPr>
        <w:t xml:space="preserve">Date:  </w:t>
      </w:r>
      <w:r w:rsidR="004F521B">
        <w:rPr>
          <w:b/>
          <w:sz w:val="28"/>
        </w:rPr>
        <w:t>26/11/21</w:t>
      </w:r>
    </w:p>
    <w:p w14:paraId="7E329E85" w14:textId="469BD6A7" w:rsidR="00A66326" w:rsidRPr="00A66326" w:rsidRDefault="00A66326" w:rsidP="00A66326">
      <w:pPr>
        <w:rPr>
          <w:sz w:val="28"/>
        </w:rPr>
      </w:pPr>
      <w:r w:rsidRPr="00A66326">
        <w:rPr>
          <w:b/>
          <w:sz w:val="28"/>
        </w:rPr>
        <w:t xml:space="preserve">Statutory Officer:  </w:t>
      </w:r>
      <w:r w:rsidR="008470E0">
        <w:rPr>
          <w:b/>
          <w:sz w:val="28"/>
        </w:rPr>
        <w:t>Jessica Farmer</w:t>
      </w:r>
    </w:p>
    <w:p w14:paraId="76F84634" w14:textId="3F3627EF" w:rsidR="00A66326" w:rsidRPr="00A66326" w:rsidRDefault="00A66326" w:rsidP="00A66326">
      <w:r w:rsidRPr="00A66326">
        <w:t>Signed on behalf o</w:t>
      </w:r>
      <w:r w:rsidR="008B0567">
        <w:t>f</w:t>
      </w:r>
      <w:r w:rsidR="008470E0">
        <w:t xml:space="preserve"> </w:t>
      </w:r>
      <w:r w:rsidRPr="00A66326">
        <w:t>the Monitoring Officer</w:t>
      </w:r>
    </w:p>
    <w:p w14:paraId="1AC0D358" w14:textId="5B4F3A37" w:rsidR="00A66326" w:rsidRPr="003313EA" w:rsidRDefault="00A66326" w:rsidP="00A66326">
      <w:pPr>
        <w:spacing w:after="480"/>
        <w:rPr>
          <w:sz w:val="28"/>
        </w:rPr>
      </w:pPr>
      <w:r w:rsidRPr="00A66326">
        <w:rPr>
          <w:b/>
          <w:sz w:val="28"/>
        </w:rPr>
        <w:t xml:space="preserve">Date:  </w:t>
      </w:r>
      <w:r w:rsidR="004F521B">
        <w:rPr>
          <w:b/>
          <w:sz w:val="28"/>
        </w:rPr>
        <w:t>30/11/21</w:t>
      </w:r>
    </w:p>
    <w:p w14:paraId="31D8FA55" w14:textId="58E58E8C" w:rsidR="00BF5AFA" w:rsidRPr="00A66326" w:rsidRDefault="00BF5AFA" w:rsidP="00BF5AFA">
      <w:pPr>
        <w:rPr>
          <w:sz w:val="28"/>
        </w:rPr>
      </w:pPr>
      <w:r>
        <w:rPr>
          <w:b/>
          <w:sz w:val="28"/>
        </w:rPr>
        <w:t>Chief</w:t>
      </w:r>
      <w:r w:rsidRPr="00A66326">
        <w:rPr>
          <w:b/>
          <w:sz w:val="28"/>
        </w:rPr>
        <w:t xml:space="preserve"> Officer:  </w:t>
      </w:r>
      <w:r w:rsidR="008B0567">
        <w:rPr>
          <w:b/>
          <w:sz w:val="28"/>
        </w:rPr>
        <w:t>Charlie Stewart</w:t>
      </w:r>
    </w:p>
    <w:p w14:paraId="6C086558" w14:textId="55B1A6E2" w:rsidR="00BF5AFA" w:rsidRPr="00A66326" w:rsidRDefault="008B0567" w:rsidP="00BF5AFA">
      <w:r>
        <w:t xml:space="preserve">Signed by the </w:t>
      </w:r>
      <w:r w:rsidR="00BF5AFA">
        <w:t xml:space="preserve">Corporate </w:t>
      </w:r>
      <w:r w:rsidR="008470E0">
        <w:t>Director</w:t>
      </w:r>
    </w:p>
    <w:p w14:paraId="5F67CDF0" w14:textId="587DCC31" w:rsidR="00BF5AFA" w:rsidRPr="00A66326" w:rsidRDefault="00BF5AFA" w:rsidP="00BF5AFA">
      <w:pPr>
        <w:spacing w:after="480"/>
        <w:rPr>
          <w:sz w:val="28"/>
        </w:rPr>
      </w:pPr>
      <w:r w:rsidRPr="00A66326">
        <w:rPr>
          <w:b/>
          <w:sz w:val="28"/>
        </w:rPr>
        <w:t xml:space="preserve">Date:  </w:t>
      </w:r>
      <w:r w:rsidR="00D71AA1">
        <w:rPr>
          <w:b/>
          <w:sz w:val="28"/>
        </w:rPr>
        <w:t>1/12/2021</w:t>
      </w:r>
    </w:p>
    <w:p w14:paraId="2C546334" w14:textId="64CA2E74" w:rsidR="00BF5AFA" w:rsidRPr="00A66326" w:rsidRDefault="00BF5AFA" w:rsidP="00BF5AFA">
      <w:pPr>
        <w:rPr>
          <w:sz w:val="28"/>
        </w:rPr>
      </w:pPr>
      <w:r>
        <w:rPr>
          <w:b/>
          <w:sz w:val="28"/>
        </w:rPr>
        <w:t>Head of Procurement</w:t>
      </w:r>
      <w:r w:rsidRPr="00A66326">
        <w:rPr>
          <w:b/>
          <w:sz w:val="28"/>
        </w:rPr>
        <w:t xml:space="preserve">:  </w:t>
      </w:r>
      <w:r w:rsidR="008470E0">
        <w:rPr>
          <w:b/>
          <w:sz w:val="28"/>
        </w:rPr>
        <w:t>Nimesh Mehta</w:t>
      </w:r>
    </w:p>
    <w:p w14:paraId="3C6E94C3" w14:textId="6AE053A3" w:rsidR="00BF5AFA" w:rsidRPr="00A66326" w:rsidRDefault="00BF5AFA" w:rsidP="00BF5AFA">
      <w:r w:rsidRPr="00A66326">
        <w:t xml:space="preserve">Signed by the </w:t>
      </w:r>
      <w:r>
        <w:t>Head of Procurement</w:t>
      </w:r>
    </w:p>
    <w:p w14:paraId="7A9C1AFE" w14:textId="2E703DF3" w:rsidR="008470E0" w:rsidRPr="00A66326" w:rsidRDefault="00BF5AFA" w:rsidP="008470E0">
      <w:pPr>
        <w:spacing w:after="480"/>
        <w:rPr>
          <w:sz w:val="28"/>
        </w:rPr>
      </w:pPr>
      <w:r w:rsidRPr="00A66326">
        <w:rPr>
          <w:b/>
          <w:sz w:val="28"/>
        </w:rPr>
        <w:t xml:space="preserve">Date:  </w:t>
      </w:r>
      <w:r w:rsidR="004F521B">
        <w:rPr>
          <w:b/>
          <w:sz w:val="28"/>
        </w:rPr>
        <w:t>30/11/21</w:t>
      </w:r>
    </w:p>
    <w:p w14:paraId="113297A5" w14:textId="7123CE5E" w:rsidR="00BF5AFA" w:rsidRPr="00A66326" w:rsidRDefault="00BF5AFA" w:rsidP="00BF5AFA">
      <w:pPr>
        <w:rPr>
          <w:sz w:val="28"/>
        </w:rPr>
      </w:pPr>
      <w:r>
        <w:rPr>
          <w:b/>
          <w:sz w:val="28"/>
        </w:rPr>
        <w:t>Head of Internal Audit</w:t>
      </w:r>
      <w:r w:rsidRPr="00A66326">
        <w:rPr>
          <w:b/>
          <w:sz w:val="28"/>
        </w:rPr>
        <w:t xml:space="preserve">:  </w:t>
      </w:r>
      <w:r w:rsidR="008470E0">
        <w:rPr>
          <w:b/>
          <w:sz w:val="28"/>
        </w:rPr>
        <w:t>Susan Dixson</w:t>
      </w:r>
    </w:p>
    <w:p w14:paraId="5CF04A24" w14:textId="706ABECD" w:rsidR="00BF5AFA" w:rsidRPr="00A66326" w:rsidRDefault="00BF5AFA" w:rsidP="00BF5AFA">
      <w:r w:rsidRPr="00A66326">
        <w:t xml:space="preserve">Signed by the </w:t>
      </w:r>
      <w:r>
        <w:t>Head of Internal Audit</w:t>
      </w:r>
    </w:p>
    <w:p w14:paraId="4890C57F" w14:textId="2760119F" w:rsidR="008470E0" w:rsidRPr="00A66326" w:rsidRDefault="00BF5AFA" w:rsidP="008470E0">
      <w:pPr>
        <w:spacing w:after="480"/>
        <w:rPr>
          <w:sz w:val="28"/>
        </w:rPr>
      </w:pPr>
      <w:r w:rsidRPr="00A66326">
        <w:rPr>
          <w:sz w:val="28"/>
        </w:rPr>
        <w:t>Date:</w:t>
      </w:r>
      <w:r w:rsidR="008470E0">
        <w:rPr>
          <w:sz w:val="28"/>
        </w:rPr>
        <w:t xml:space="preserve"> </w:t>
      </w:r>
      <w:r w:rsidR="004F521B" w:rsidRPr="004F521B">
        <w:rPr>
          <w:b/>
          <w:bCs/>
          <w:sz w:val="28"/>
        </w:rPr>
        <w:t>30/11/21</w:t>
      </w:r>
    </w:p>
    <w:p w14:paraId="45A19EC7" w14:textId="59434FDF" w:rsidR="003313EA" w:rsidRPr="00435B5D" w:rsidRDefault="003313EA" w:rsidP="00BF5AFA">
      <w:pPr>
        <w:pStyle w:val="Heading2"/>
        <w:spacing w:before="480" w:after="240"/>
      </w:pPr>
      <w:r>
        <w:t>Mandatory Checks</w:t>
      </w:r>
    </w:p>
    <w:p w14:paraId="64551188" w14:textId="0A970DEC"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250439A5"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6B589F3A" w14:textId="2CE4BCD4"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8470E0">
        <w:t>N/A</w:t>
      </w:r>
    </w:p>
    <w:p w14:paraId="1E71EB75" w14:textId="77777777" w:rsidR="00150E56" w:rsidRDefault="00150E56" w:rsidP="00842757">
      <w:pPr>
        <w:pStyle w:val="Heading2"/>
        <w:spacing w:before="480" w:after="240"/>
      </w:pPr>
    </w:p>
    <w:p w14:paraId="41E16C55" w14:textId="13682C23"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405C735F" w14:textId="2F228BDC" w:rsidR="008470E0" w:rsidRPr="008470E0" w:rsidRDefault="00333FAA" w:rsidP="008470E0">
      <w:pPr>
        <w:pStyle w:val="Infotext"/>
        <w:rPr>
          <w:bCs/>
        </w:rPr>
      </w:pPr>
      <w:r w:rsidRPr="004E47FC">
        <w:rPr>
          <w:b/>
        </w:rPr>
        <w:t xml:space="preserve">Contact:  </w:t>
      </w:r>
      <w:r w:rsidR="008470E0" w:rsidRPr="008470E0">
        <w:rPr>
          <w:bCs/>
        </w:rPr>
        <w:t xml:space="preserve">Sharon Daniels, Head of Strategic and Technical Finance (Deputy S151), Telephone 020 8424 1332, </w:t>
      </w:r>
      <w:hyperlink r:id="rId17" w:history="1">
        <w:r w:rsidR="008470E0" w:rsidRPr="008470E0">
          <w:rPr>
            <w:rStyle w:val="Hyperlink"/>
            <w:bCs/>
          </w:rPr>
          <w:t>Sharon.Daniels@harrow.gov.uk</w:t>
        </w:r>
      </w:hyperlink>
      <w:r w:rsidR="008470E0" w:rsidRPr="008470E0">
        <w:rPr>
          <w:bCs/>
        </w:rPr>
        <w:t xml:space="preserve"> </w:t>
      </w:r>
    </w:p>
    <w:p w14:paraId="5B5C3A48" w14:textId="77777777" w:rsidR="008470E0" w:rsidRPr="009039A9" w:rsidRDefault="008470E0" w:rsidP="008470E0">
      <w:pPr>
        <w:pStyle w:val="Infotext"/>
        <w:rPr>
          <w:b/>
        </w:rPr>
      </w:pPr>
    </w:p>
    <w:p w14:paraId="77C58D4B" w14:textId="58973011" w:rsidR="00333FAA" w:rsidRDefault="00333FAA" w:rsidP="00CC18AC">
      <w:pPr>
        <w:pStyle w:val="Infotext"/>
        <w:spacing w:after="240"/>
        <w:rPr>
          <w:b/>
        </w:rPr>
      </w:pPr>
      <w:r w:rsidRPr="004E47FC">
        <w:rPr>
          <w:b/>
        </w:rPr>
        <w:t xml:space="preserve">Background Papers: </w:t>
      </w:r>
      <w:r w:rsidR="005808FB">
        <w:rPr>
          <w:b/>
        </w:rPr>
        <w:t xml:space="preserve"> </w:t>
      </w:r>
    </w:p>
    <w:p w14:paraId="33920E9F" w14:textId="49F7D570" w:rsidR="008470E0" w:rsidRPr="008470E0" w:rsidRDefault="00D130AA" w:rsidP="008470E0">
      <w:pPr>
        <w:pStyle w:val="ListParagraph"/>
        <w:numPr>
          <w:ilvl w:val="0"/>
          <w:numId w:val="10"/>
        </w:numPr>
        <w:ind w:left="1276" w:hanging="1287"/>
        <w:rPr>
          <w:b/>
          <w:sz w:val="28"/>
          <w:szCs w:val="22"/>
        </w:rPr>
      </w:pPr>
      <w:hyperlink r:id="rId18" w:history="1">
        <w:r w:rsidR="008470E0" w:rsidRPr="008470E0">
          <w:rPr>
            <w:rStyle w:val="Hyperlink"/>
            <w:b/>
            <w:sz w:val="28"/>
            <w:szCs w:val="22"/>
          </w:rPr>
          <w:t>2021/22 Budget Report</w:t>
        </w:r>
      </w:hyperlink>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2F2F69DD" w:rsidR="000D4E36" w:rsidRPr="00ED6776" w:rsidRDefault="00842757" w:rsidP="008470E0">
      <w:pPr>
        <w:pStyle w:val="Infotext"/>
        <w:spacing w:before="240"/>
        <w:rPr>
          <w:rFonts w:cs="Arial"/>
          <w:i/>
          <w:sz w:val="24"/>
          <w:szCs w:val="24"/>
          <w:lang w:eastAsia="en-GB"/>
        </w:rPr>
      </w:pPr>
      <w:r w:rsidRPr="003D78F6">
        <w:rPr>
          <w:b/>
        </w:rPr>
        <w:t xml:space="preserve">NO </w:t>
      </w:r>
    </w:p>
    <w:sectPr w:rsidR="000D4E36" w:rsidRPr="00ED6776" w:rsidSect="001614E0">
      <w:headerReference w:type="default" r:id="rId19"/>
      <w:headerReference w:type="first" r:id="rId20"/>
      <w:footerReference w:type="first" r:id="rId21"/>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36B0" w14:textId="77777777" w:rsidR="00E06706" w:rsidRDefault="00E06706">
      <w:r>
        <w:separator/>
      </w:r>
    </w:p>
  </w:endnote>
  <w:endnote w:type="continuationSeparator" w:id="0">
    <w:p w14:paraId="208F926C" w14:textId="77777777" w:rsidR="00E06706" w:rsidRDefault="00E0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E06706" w:rsidRPr="004F56C5" w:rsidRDefault="00E06706"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4824" w14:textId="77777777" w:rsidR="00E06706" w:rsidRDefault="00E06706">
      <w:r>
        <w:separator/>
      </w:r>
    </w:p>
  </w:footnote>
  <w:footnote w:type="continuationSeparator" w:id="0">
    <w:p w14:paraId="0DDE43B4" w14:textId="77777777" w:rsidR="00E06706" w:rsidRDefault="00E0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E06706" w:rsidRDefault="00E06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E06706" w:rsidRDefault="00E06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351"/>
    <w:multiLevelType w:val="multilevel"/>
    <w:tmpl w:val="5B483B0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D42D04"/>
    <w:multiLevelType w:val="multilevel"/>
    <w:tmpl w:val="74B832A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6A5F6F"/>
    <w:multiLevelType w:val="hybridMultilevel"/>
    <w:tmpl w:val="B5E21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D47B0"/>
    <w:multiLevelType w:val="hybridMultilevel"/>
    <w:tmpl w:val="4110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5"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3E212B7"/>
    <w:multiLevelType w:val="multilevel"/>
    <w:tmpl w:val="28967462"/>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color w:val="auto"/>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7" w15:restartNumberingAfterBreak="0">
    <w:nsid w:val="370448A5"/>
    <w:multiLevelType w:val="hybridMultilevel"/>
    <w:tmpl w:val="2C98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E1DA8"/>
    <w:multiLevelType w:val="hybridMultilevel"/>
    <w:tmpl w:val="BB60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44000"/>
    <w:multiLevelType w:val="hybridMultilevel"/>
    <w:tmpl w:val="07F244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355B9"/>
    <w:multiLevelType w:val="multilevel"/>
    <w:tmpl w:val="D81AD606"/>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bullet"/>
      <w:lvlText w:val=""/>
      <w:lvlJc w:val="left"/>
      <w:pPr>
        <w:ind w:left="2444" w:hanging="720"/>
      </w:pPr>
      <w:rPr>
        <w:rFonts w:ascii="Symbol" w:hAnsi="Symbol"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3" w15:restartNumberingAfterBreak="0">
    <w:nsid w:val="4A642482"/>
    <w:multiLevelType w:val="hybridMultilevel"/>
    <w:tmpl w:val="8F9AA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7757E"/>
    <w:multiLevelType w:val="multilevel"/>
    <w:tmpl w:val="69845E7A"/>
    <w:lvl w:ilvl="0">
      <w:start w:val="3"/>
      <w:numFmt w:val="decimal"/>
      <w:lvlText w:val="%1"/>
      <w:lvlJc w:val="left"/>
      <w:pPr>
        <w:ind w:left="460" w:hanging="460"/>
      </w:pPr>
    </w:lvl>
    <w:lvl w:ilvl="1">
      <w:start w:val="20"/>
      <w:numFmt w:val="decimal"/>
      <w:lvlText w:val="%1.%2"/>
      <w:lvlJc w:val="left"/>
      <w:pPr>
        <w:ind w:left="1878" w:hanging="46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4FFF32D2"/>
    <w:multiLevelType w:val="hybridMultilevel"/>
    <w:tmpl w:val="550AF50A"/>
    <w:lvl w:ilvl="0" w:tplc="725A6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5F6625DC"/>
    <w:multiLevelType w:val="hybridMultilevel"/>
    <w:tmpl w:val="8C3A18C0"/>
    <w:lvl w:ilvl="0" w:tplc="F73EBBAA">
      <w:numFmt w:val="decimal"/>
      <w:lvlText w:val="2.%1"/>
      <w:lvlJc w:val="left"/>
      <w:pPr>
        <w:ind w:left="6882" w:hanging="360"/>
      </w:pPr>
      <w:rPr>
        <w:rFonts w:ascii="Arial" w:hAnsi="Arial" w:cs="Arial" w:hint="default"/>
        <w:b w:val="0"/>
        <w:color w:val="auto"/>
        <w:sz w:val="24"/>
        <w:szCs w:val="24"/>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3766A2A"/>
    <w:multiLevelType w:val="hybridMultilevel"/>
    <w:tmpl w:val="F502E8E0"/>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5F32E33"/>
    <w:multiLevelType w:val="hybridMultilevel"/>
    <w:tmpl w:val="7A64E61A"/>
    <w:lvl w:ilvl="0" w:tplc="4D924430">
      <w:start w:val="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FD7E4F"/>
    <w:multiLevelType w:val="hybridMultilevel"/>
    <w:tmpl w:val="C92C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14B6E"/>
    <w:multiLevelType w:val="hybridMultilevel"/>
    <w:tmpl w:val="E14E241A"/>
    <w:lvl w:ilvl="0" w:tplc="A73E792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E4E1C"/>
    <w:multiLevelType w:val="hybridMultilevel"/>
    <w:tmpl w:val="18C833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1"/>
  </w:num>
  <w:num w:numId="2">
    <w:abstractNumId w:val="4"/>
  </w:num>
  <w:num w:numId="3">
    <w:abstractNumId w:val="0"/>
  </w:num>
  <w:num w:numId="4">
    <w:abstractNumId w:val="16"/>
  </w:num>
  <w:num w:numId="5">
    <w:abstractNumId w:val="19"/>
  </w:num>
  <w:num w:numId="6">
    <w:abstractNumId w:val="17"/>
  </w:num>
  <w:num w:numId="7">
    <w:abstractNumId w:val="12"/>
  </w:num>
  <w:num w:numId="8">
    <w:abstractNumId w:val="18"/>
  </w:num>
  <w:num w:numId="9">
    <w:abstractNumId w:val="5"/>
  </w:num>
  <w:num w:numId="10">
    <w:abstractNumId w:val="25"/>
  </w:num>
  <w:num w:numId="11">
    <w:abstractNumId w:val="20"/>
  </w:num>
  <w:num w:numId="12">
    <w:abstractNumId w:val="6"/>
  </w:num>
  <w:num w:numId="13">
    <w:abstractNumId w:val="14"/>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15"/>
  </w:num>
  <w:num w:numId="17">
    <w:abstractNumId w:val="8"/>
  </w:num>
  <w:num w:numId="18">
    <w:abstractNumId w:val="23"/>
  </w:num>
  <w:num w:numId="19">
    <w:abstractNumId w:val="2"/>
  </w:num>
  <w:num w:numId="20">
    <w:abstractNumId w:val="7"/>
  </w:num>
  <w:num w:numId="21">
    <w:abstractNumId w:val="1"/>
  </w:num>
  <w:num w:numId="22">
    <w:abstractNumId w:val="13"/>
  </w:num>
  <w:num w:numId="23">
    <w:abstractNumId w:val="21"/>
  </w:num>
  <w:num w:numId="24">
    <w:abstractNumId w:val="9"/>
  </w:num>
  <w:num w:numId="25">
    <w:abstractNumId w:val="24"/>
  </w:num>
  <w:num w:numId="26">
    <w:abstractNumId w:val="3"/>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7319"/>
    <w:rsid w:val="000239ED"/>
    <w:rsid w:val="0004029A"/>
    <w:rsid w:val="000474E3"/>
    <w:rsid w:val="0006034E"/>
    <w:rsid w:val="00063783"/>
    <w:rsid w:val="00073765"/>
    <w:rsid w:val="00076EAA"/>
    <w:rsid w:val="00081B79"/>
    <w:rsid w:val="00084F84"/>
    <w:rsid w:val="000929A6"/>
    <w:rsid w:val="000A7457"/>
    <w:rsid w:val="000B5015"/>
    <w:rsid w:val="000B788F"/>
    <w:rsid w:val="000B7C66"/>
    <w:rsid w:val="000D0DD2"/>
    <w:rsid w:val="000D4E36"/>
    <w:rsid w:val="000E62FE"/>
    <w:rsid w:val="00104ECA"/>
    <w:rsid w:val="00105B8A"/>
    <w:rsid w:val="00113ED7"/>
    <w:rsid w:val="001161E4"/>
    <w:rsid w:val="00125A26"/>
    <w:rsid w:val="001275C8"/>
    <w:rsid w:val="001462E9"/>
    <w:rsid w:val="001472A8"/>
    <w:rsid w:val="00150E56"/>
    <w:rsid w:val="0015376F"/>
    <w:rsid w:val="001614E0"/>
    <w:rsid w:val="00167B02"/>
    <w:rsid w:val="00171BD8"/>
    <w:rsid w:val="00176390"/>
    <w:rsid w:val="0017653E"/>
    <w:rsid w:val="00182B01"/>
    <w:rsid w:val="001836AC"/>
    <w:rsid w:val="001840D2"/>
    <w:rsid w:val="001966D7"/>
    <w:rsid w:val="001A2B6C"/>
    <w:rsid w:val="001A35DC"/>
    <w:rsid w:val="001B74AA"/>
    <w:rsid w:val="001C4D2E"/>
    <w:rsid w:val="001C7E35"/>
    <w:rsid w:val="001E3C06"/>
    <w:rsid w:val="001F0037"/>
    <w:rsid w:val="001F0BE9"/>
    <w:rsid w:val="00202D79"/>
    <w:rsid w:val="00205D2F"/>
    <w:rsid w:val="00215E8F"/>
    <w:rsid w:val="00221A93"/>
    <w:rsid w:val="00223AE7"/>
    <w:rsid w:val="002322BB"/>
    <w:rsid w:val="00251254"/>
    <w:rsid w:val="002548D1"/>
    <w:rsid w:val="0027283B"/>
    <w:rsid w:val="0028019B"/>
    <w:rsid w:val="00282E73"/>
    <w:rsid w:val="00283CAB"/>
    <w:rsid w:val="0028525A"/>
    <w:rsid w:val="00293B82"/>
    <w:rsid w:val="002A3FEF"/>
    <w:rsid w:val="002A5286"/>
    <w:rsid w:val="002B54A6"/>
    <w:rsid w:val="002F3E9F"/>
    <w:rsid w:val="002F3EE9"/>
    <w:rsid w:val="00307F76"/>
    <w:rsid w:val="00321FBB"/>
    <w:rsid w:val="003313EA"/>
    <w:rsid w:val="00333FAA"/>
    <w:rsid w:val="003355D7"/>
    <w:rsid w:val="00342ECE"/>
    <w:rsid w:val="00350DF8"/>
    <w:rsid w:val="0036201C"/>
    <w:rsid w:val="00376768"/>
    <w:rsid w:val="003774CC"/>
    <w:rsid w:val="003C270D"/>
    <w:rsid w:val="003D03A5"/>
    <w:rsid w:val="003D2E99"/>
    <w:rsid w:val="003E6B6E"/>
    <w:rsid w:val="003F3AFD"/>
    <w:rsid w:val="00402882"/>
    <w:rsid w:val="004076C8"/>
    <w:rsid w:val="00417851"/>
    <w:rsid w:val="004207E3"/>
    <w:rsid w:val="00421A4C"/>
    <w:rsid w:val="004238C2"/>
    <w:rsid w:val="00435B5D"/>
    <w:rsid w:val="004363F7"/>
    <w:rsid w:val="0044525C"/>
    <w:rsid w:val="004553F1"/>
    <w:rsid w:val="00471C1F"/>
    <w:rsid w:val="004809FA"/>
    <w:rsid w:val="004B4AC2"/>
    <w:rsid w:val="004C4A75"/>
    <w:rsid w:val="004D2DA0"/>
    <w:rsid w:val="004D6780"/>
    <w:rsid w:val="004E14A4"/>
    <w:rsid w:val="004F521B"/>
    <w:rsid w:val="004F54BD"/>
    <w:rsid w:val="004F56C5"/>
    <w:rsid w:val="00506185"/>
    <w:rsid w:val="00526DE5"/>
    <w:rsid w:val="005354D0"/>
    <w:rsid w:val="0054172C"/>
    <w:rsid w:val="0054590F"/>
    <w:rsid w:val="005459EC"/>
    <w:rsid w:val="005718B5"/>
    <w:rsid w:val="005808FB"/>
    <w:rsid w:val="005811F8"/>
    <w:rsid w:val="005816C3"/>
    <w:rsid w:val="00582605"/>
    <w:rsid w:val="00591016"/>
    <w:rsid w:val="005A740A"/>
    <w:rsid w:val="005B3F67"/>
    <w:rsid w:val="005D548F"/>
    <w:rsid w:val="005D6EF5"/>
    <w:rsid w:val="005E3A10"/>
    <w:rsid w:val="005E7509"/>
    <w:rsid w:val="00601D7F"/>
    <w:rsid w:val="00605A4C"/>
    <w:rsid w:val="00645B8B"/>
    <w:rsid w:val="00655044"/>
    <w:rsid w:val="00666922"/>
    <w:rsid w:val="00670F17"/>
    <w:rsid w:val="006710C7"/>
    <w:rsid w:val="0067714A"/>
    <w:rsid w:val="00696A83"/>
    <w:rsid w:val="00696AED"/>
    <w:rsid w:val="006C580A"/>
    <w:rsid w:val="006D1E69"/>
    <w:rsid w:val="006F057C"/>
    <w:rsid w:val="006F22DA"/>
    <w:rsid w:val="006F2EB3"/>
    <w:rsid w:val="006F7ACA"/>
    <w:rsid w:val="00705B4A"/>
    <w:rsid w:val="007116B1"/>
    <w:rsid w:val="00714BEE"/>
    <w:rsid w:val="00721215"/>
    <w:rsid w:val="00722D4A"/>
    <w:rsid w:val="007400CF"/>
    <w:rsid w:val="00745CE0"/>
    <w:rsid w:val="00783DF7"/>
    <w:rsid w:val="00787867"/>
    <w:rsid w:val="007B23FC"/>
    <w:rsid w:val="007C7FBB"/>
    <w:rsid w:val="007D0C1D"/>
    <w:rsid w:val="007D2000"/>
    <w:rsid w:val="007D4DBF"/>
    <w:rsid w:val="007E4732"/>
    <w:rsid w:val="007E4BA4"/>
    <w:rsid w:val="007F004E"/>
    <w:rsid w:val="007F335A"/>
    <w:rsid w:val="007F513B"/>
    <w:rsid w:val="00803104"/>
    <w:rsid w:val="00812901"/>
    <w:rsid w:val="00826B9A"/>
    <w:rsid w:val="00842757"/>
    <w:rsid w:val="00843CC2"/>
    <w:rsid w:val="008470E0"/>
    <w:rsid w:val="0085266D"/>
    <w:rsid w:val="00872667"/>
    <w:rsid w:val="00895DD1"/>
    <w:rsid w:val="008A5AA0"/>
    <w:rsid w:val="008B0567"/>
    <w:rsid w:val="008C5765"/>
    <w:rsid w:val="008E224D"/>
    <w:rsid w:val="008F4392"/>
    <w:rsid w:val="0092530B"/>
    <w:rsid w:val="009341A6"/>
    <w:rsid w:val="0094208C"/>
    <w:rsid w:val="00942F17"/>
    <w:rsid w:val="00943236"/>
    <w:rsid w:val="00952CEF"/>
    <w:rsid w:val="00955421"/>
    <w:rsid w:val="00990E9C"/>
    <w:rsid w:val="00994542"/>
    <w:rsid w:val="00994908"/>
    <w:rsid w:val="009B160B"/>
    <w:rsid w:val="009B3304"/>
    <w:rsid w:val="009C237B"/>
    <w:rsid w:val="009D3645"/>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81E19"/>
    <w:rsid w:val="00A949D7"/>
    <w:rsid w:val="00A9723B"/>
    <w:rsid w:val="00AB795F"/>
    <w:rsid w:val="00AC6312"/>
    <w:rsid w:val="00AC7EB2"/>
    <w:rsid w:val="00AD1E77"/>
    <w:rsid w:val="00AD6D80"/>
    <w:rsid w:val="00AF13E3"/>
    <w:rsid w:val="00B1160D"/>
    <w:rsid w:val="00B139FB"/>
    <w:rsid w:val="00B444E6"/>
    <w:rsid w:val="00B52011"/>
    <w:rsid w:val="00B53EFF"/>
    <w:rsid w:val="00B54AFA"/>
    <w:rsid w:val="00B671A4"/>
    <w:rsid w:val="00B804E8"/>
    <w:rsid w:val="00B84BB2"/>
    <w:rsid w:val="00BC206C"/>
    <w:rsid w:val="00BC431A"/>
    <w:rsid w:val="00BF5AFA"/>
    <w:rsid w:val="00C01A35"/>
    <w:rsid w:val="00C03772"/>
    <w:rsid w:val="00C04EDA"/>
    <w:rsid w:val="00C119A2"/>
    <w:rsid w:val="00C53F1A"/>
    <w:rsid w:val="00C57267"/>
    <w:rsid w:val="00C616FF"/>
    <w:rsid w:val="00C62B63"/>
    <w:rsid w:val="00C72B5B"/>
    <w:rsid w:val="00C81665"/>
    <w:rsid w:val="00C869F3"/>
    <w:rsid w:val="00CB38BD"/>
    <w:rsid w:val="00CC18AC"/>
    <w:rsid w:val="00CD7D5D"/>
    <w:rsid w:val="00CE75EB"/>
    <w:rsid w:val="00CF0621"/>
    <w:rsid w:val="00CF0FC4"/>
    <w:rsid w:val="00CF6932"/>
    <w:rsid w:val="00D01FE3"/>
    <w:rsid w:val="00D0381E"/>
    <w:rsid w:val="00D06CA3"/>
    <w:rsid w:val="00D07F46"/>
    <w:rsid w:val="00D130AA"/>
    <w:rsid w:val="00D170E5"/>
    <w:rsid w:val="00D22E2F"/>
    <w:rsid w:val="00D37F2F"/>
    <w:rsid w:val="00D415B9"/>
    <w:rsid w:val="00D528E8"/>
    <w:rsid w:val="00D71AA1"/>
    <w:rsid w:val="00D771D0"/>
    <w:rsid w:val="00D835CF"/>
    <w:rsid w:val="00DA26FB"/>
    <w:rsid w:val="00DA36BE"/>
    <w:rsid w:val="00DB6C3D"/>
    <w:rsid w:val="00DC5ACF"/>
    <w:rsid w:val="00DD3573"/>
    <w:rsid w:val="00DD7468"/>
    <w:rsid w:val="00DE25E9"/>
    <w:rsid w:val="00DE71D3"/>
    <w:rsid w:val="00DE72CF"/>
    <w:rsid w:val="00DF08A0"/>
    <w:rsid w:val="00DF7D8B"/>
    <w:rsid w:val="00E06706"/>
    <w:rsid w:val="00E13BEF"/>
    <w:rsid w:val="00E70760"/>
    <w:rsid w:val="00E84181"/>
    <w:rsid w:val="00E850DA"/>
    <w:rsid w:val="00E9253C"/>
    <w:rsid w:val="00EB3CF0"/>
    <w:rsid w:val="00EB45B5"/>
    <w:rsid w:val="00EB5E57"/>
    <w:rsid w:val="00EB61DB"/>
    <w:rsid w:val="00EC0C8F"/>
    <w:rsid w:val="00ED1AD0"/>
    <w:rsid w:val="00ED4AFD"/>
    <w:rsid w:val="00ED6776"/>
    <w:rsid w:val="00EE4FBE"/>
    <w:rsid w:val="00F038A1"/>
    <w:rsid w:val="00F04692"/>
    <w:rsid w:val="00F06E4E"/>
    <w:rsid w:val="00F51E01"/>
    <w:rsid w:val="00F5649A"/>
    <w:rsid w:val="00F67DC5"/>
    <w:rsid w:val="00F82342"/>
    <w:rsid w:val="00F877DB"/>
    <w:rsid w:val="00F91AE4"/>
    <w:rsid w:val="00F93C8B"/>
    <w:rsid w:val="00F959DD"/>
    <w:rsid w:val="00F960D5"/>
    <w:rsid w:val="00F97697"/>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8470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8470E0"/>
    <w:rPr>
      <w:rFonts w:ascii="Arial" w:hAnsi="Arial"/>
      <w:sz w:val="24"/>
      <w:lang w:eastAsia="en-US"/>
    </w:rPr>
  </w:style>
  <w:style w:type="character" w:customStyle="1" w:styleId="Heading5Char">
    <w:name w:val="Heading 5 Char"/>
    <w:basedOn w:val="DefaultParagraphFont"/>
    <w:link w:val="Heading5"/>
    <w:semiHidden/>
    <w:rsid w:val="008470E0"/>
    <w:rPr>
      <w:rFonts w:asciiTheme="majorHAnsi" w:eastAsiaTheme="majorEastAsia" w:hAnsiTheme="majorHAnsi" w:cstheme="majorBidi"/>
      <w:color w:val="243F60" w:themeColor="accent1" w:themeShade="7F"/>
      <w:sz w:val="24"/>
      <w:lang w:eastAsia="en-US"/>
    </w:rPr>
  </w:style>
  <w:style w:type="character" w:styleId="CommentReference">
    <w:name w:val="annotation reference"/>
    <w:basedOn w:val="DefaultParagraphFont"/>
    <w:rsid w:val="008470E0"/>
    <w:rPr>
      <w:sz w:val="16"/>
      <w:szCs w:val="16"/>
    </w:rPr>
  </w:style>
  <w:style w:type="paragraph" w:styleId="CommentText">
    <w:name w:val="annotation text"/>
    <w:basedOn w:val="Normal"/>
    <w:link w:val="CommentTextChar"/>
    <w:rsid w:val="008470E0"/>
    <w:rPr>
      <w:sz w:val="20"/>
    </w:rPr>
  </w:style>
  <w:style w:type="character" w:customStyle="1" w:styleId="CommentTextChar">
    <w:name w:val="Comment Text Char"/>
    <w:basedOn w:val="DefaultParagraphFont"/>
    <w:link w:val="CommentText"/>
    <w:rsid w:val="008470E0"/>
    <w:rPr>
      <w:rFonts w:ascii="Arial" w:hAnsi="Arial"/>
      <w:lang w:eastAsia="en-US"/>
    </w:rPr>
  </w:style>
  <w:style w:type="paragraph" w:styleId="CommentSubject">
    <w:name w:val="annotation subject"/>
    <w:basedOn w:val="CommentText"/>
    <w:next w:val="CommentText"/>
    <w:link w:val="CommentSubjectChar"/>
    <w:rsid w:val="008470E0"/>
    <w:rPr>
      <w:b/>
      <w:bCs/>
    </w:rPr>
  </w:style>
  <w:style w:type="character" w:customStyle="1" w:styleId="CommentSubjectChar">
    <w:name w:val="Comment Subject Char"/>
    <w:basedOn w:val="CommentTextChar"/>
    <w:link w:val="CommentSubject"/>
    <w:rsid w:val="008470E0"/>
    <w:rPr>
      <w:rFonts w:ascii="Arial" w:hAnsi="Arial"/>
      <w:b/>
      <w:bCs/>
      <w:lang w:eastAsia="en-US"/>
    </w:rPr>
  </w:style>
  <w:style w:type="paragraph" w:styleId="Revision">
    <w:name w:val="Revision"/>
    <w:hidden/>
    <w:uiPriority w:val="99"/>
    <w:semiHidden/>
    <w:rsid w:val="008470E0"/>
    <w:rPr>
      <w:rFonts w:ascii="Arial" w:hAnsi="Arial"/>
      <w:sz w:val="24"/>
      <w:lang w:eastAsia="en-US"/>
    </w:rPr>
  </w:style>
  <w:style w:type="paragraph" w:styleId="BodyText3">
    <w:name w:val="Body Text 3"/>
    <w:basedOn w:val="Normal"/>
    <w:link w:val="BodyText3Char"/>
    <w:rsid w:val="008470E0"/>
    <w:pPr>
      <w:spacing w:after="120"/>
    </w:pPr>
    <w:rPr>
      <w:sz w:val="16"/>
      <w:szCs w:val="16"/>
    </w:rPr>
  </w:style>
  <w:style w:type="character" w:customStyle="1" w:styleId="BodyText3Char">
    <w:name w:val="Body Text 3 Char"/>
    <w:basedOn w:val="DefaultParagraphFont"/>
    <w:link w:val="BodyText3"/>
    <w:rsid w:val="008470E0"/>
    <w:rPr>
      <w:rFonts w:ascii="Arial" w:hAnsi="Arial"/>
      <w:sz w:val="16"/>
      <w:szCs w:val="16"/>
      <w:lang w:eastAsia="en-US"/>
    </w:rPr>
  </w:style>
  <w:style w:type="paragraph" w:styleId="BodyTextIndent">
    <w:name w:val="Body Text Indent"/>
    <w:basedOn w:val="Normal"/>
    <w:link w:val="BodyTextIndentChar"/>
    <w:rsid w:val="008470E0"/>
    <w:pPr>
      <w:spacing w:after="120"/>
      <w:ind w:left="283"/>
    </w:pPr>
  </w:style>
  <w:style w:type="character" w:customStyle="1" w:styleId="BodyTextIndentChar">
    <w:name w:val="Body Text Indent Char"/>
    <w:basedOn w:val="DefaultParagraphFont"/>
    <w:link w:val="BodyTextIndent"/>
    <w:rsid w:val="008470E0"/>
    <w:rPr>
      <w:rFonts w:ascii="Arial" w:hAnsi="Arial"/>
      <w:sz w:val="24"/>
      <w:lang w:eastAsia="en-US"/>
    </w:rPr>
  </w:style>
  <w:style w:type="character" w:customStyle="1" w:styleId="FooterChar">
    <w:name w:val="Footer Char"/>
    <w:basedOn w:val="DefaultParagraphFont"/>
    <w:link w:val="Footer"/>
    <w:uiPriority w:val="99"/>
    <w:rsid w:val="008470E0"/>
    <w:rPr>
      <w:rFonts w:ascii="Arial" w:hAnsi="Arial"/>
      <w:sz w:val="24"/>
      <w:szCs w:val="24"/>
      <w:lang w:val="en-US" w:eastAsia="en-US"/>
    </w:rPr>
  </w:style>
  <w:style w:type="table" w:customStyle="1" w:styleId="TableGrid1">
    <w:name w:val="Table Grid1"/>
    <w:basedOn w:val="TableNormal"/>
    <w:next w:val="TableGrid"/>
    <w:uiPriority w:val="59"/>
    <w:rsid w:val="008470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470E0"/>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8470E0"/>
    <w:rPr>
      <w:color w:val="605E5C"/>
      <w:shd w:val="clear" w:color="auto" w:fill="E1DFDD"/>
    </w:rPr>
  </w:style>
  <w:style w:type="character" w:customStyle="1" w:styleId="xnormaltextrun">
    <w:name w:val="x_normaltextrun"/>
    <w:basedOn w:val="DefaultParagraphFont"/>
    <w:rsid w:val="008470E0"/>
  </w:style>
  <w:style w:type="character" w:customStyle="1" w:styleId="xeop">
    <w:name w:val="x_eop"/>
    <w:basedOn w:val="DefaultParagraphFont"/>
    <w:rsid w:val="008470E0"/>
  </w:style>
  <w:style w:type="paragraph" w:styleId="NoSpacing">
    <w:name w:val="No Spacing"/>
    <w:uiPriority w:val="1"/>
    <w:qFormat/>
    <w:rsid w:val="008470E0"/>
    <w:rPr>
      <w:rFonts w:ascii="Calibri" w:eastAsia="Calibri" w:hAnsi="Calibri"/>
      <w:sz w:val="22"/>
      <w:szCs w:val="22"/>
      <w:lang w:eastAsia="en-US"/>
    </w:rPr>
  </w:style>
  <w:style w:type="character" w:customStyle="1" w:styleId="HeaderChar">
    <w:name w:val="Header Char"/>
    <w:basedOn w:val="DefaultParagraphFont"/>
    <w:link w:val="Header"/>
    <w:uiPriority w:val="99"/>
    <w:rsid w:val="008470E0"/>
    <w:rPr>
      <w:rFonts w:ascii="Arial" w:hAnsi="Arial"/>
      <w:sz w:val="24"/>
      <w:lang w:eastAsia="en-US"/>
    </w:rPr>
  </w:style>
  <w:style w:type="character" w:styleId="UnresolvedMention">
    <w:name w:val="Unresolved Mention"/>
    <w:basedOn w:val="DefaultParagraphFont"/>
    <w:uiPriority w:val="99"/>
    <w:semiHidden/>
    <w:unhideWhenUsed/>
    <w:rsid w:val="00847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382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5198025">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037807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83806135">
      <w:bodyDiv w:val="1"/>
      <w:marLeft w:val="0"/>
      <w:marRight w:val="0"/>
      <w:marTop w:val="0"/>
      <w:marBottom w:val="0"/>
      <w:divBdr>
        <w:top w:val="none" w:sz="0" w:space="0" w:color="auto"/>
        <w:left w:val="none" w:sz="0" w:space="0" w:color="auto"/>
        <w:bottom w:val="none" w:sz="0" w:space="0" w:color="auto"/>
        <w:right w:val="none" w:sz="0" w:space="0" w:color="auto"/>
      </w:divBdr>
    </w:div>
    <w:div w:id="1665279129">
      <w:bodyDiv w:val="1"/>
      <w:marLeft w:val="0"/>
      <w:marRight w:val="0"/>
      <w:marTop w:val="0"/>
      <w:marBottom w:val="0"/>
      <w:divBdr>
        <w:top w:val="none" w:sz="0" w:space="0" w:color="auto"/>
        <w:left w:val="none" w:sz="0" w:space="0" w:color="auto"/>
        <w:bottom w:val="none" w:sz="0" w:space="0" w:color="auto"/>
        <w:right w:val="none" w:sz="0" w:space="0" w:color="auto"/>
      </w:divBdr>
    </w:div>
    <w:div w:id="1745487120">
      <w:bodyDiv w:val="1"/>
      <w:marLeft w:val="0"/>
      <w:marRight w:val="0"/>
      <w:marTop w:val="0"/>
      <w:marBottom w:val="0"/>
      <w:divBdr>
        <w:top w:val="none" w:sz="0" w:space="0" w:color="auto"/>
        <w:left w:val="none" w:sz="0" w:space="0" w:color="auto"/>
        <w:bottom w:val="none" w:sz="0" w:space="0" w:color="auto"/>
        <w:right w:val="none" w:sz="0" w:space="0" w:color="auto"/>
      </w:divBdr>
    </w:div>
    <w:div w:id="17856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moderngov.harrow.gov.uk/documents/s169323/Final%20202122%20Budget%20Report%20February%20Cabinet-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haron.Daniels@harrow.gov.uk"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ur01.safelinks.protection.outlook.com/?url=https%3A%2F%2Fwww.gov.uk%2Fgovernment%2Fnews%2Foperation-warm-welcome-underway-to-support-afghan-arrivals-in-the-uk&amp;data=04%7C01%7CJo.Frost%40harrow.gov.uk%7C0b4ce7c69c6845ce87a808d9aace6c63%7Cd2c39953a8db4c3c97f2d2dc76fb3e2c%7C1%7C0%7C637728625814527046%7CUnknown%7CTWFpbGZsb3d8eyJWIjoiMC4wLjAwMDAiLCJQIjoiV2luMzIiLCJBTiI6Ik1haWwiLCJXVCI6Mn0%3D%7C3000&amp;sdata=D6r4BgMkdibvjoYTopG%2BE9icq3n5Jm5KuGR%2FIfYpiQ4%3D&amp;reserved=0"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AD"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3.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49E25D0E-3E11-4E92-9DC9-D73F4647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8940</Words>
  <Characters>47519</Characters>
  <Application>Microsoft Office Word</Application>
  <DocSecurity>4</DocSecurity>
  <Lines>395</Lines>
  <Paragraphs>112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56347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2</cp:revision>
  <cp:lastPrinted>2014-10-31T16:34:00Z</cp:lastPrinted>
  <dcterms:created xsi:type="dcterms:W3CDTF">2021-12-01T15:09:00Z</dcterms:created>
  <dcterms:modified xsi:type="dcterms:W3CDTF">2021-12-01T15:09:00Z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